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47D4E091">
      <w:pPr>
        <w:spacing w:line="560" w:lineRule="exact"/>
        <w:jc w:val="center"/>
        <w:rPr>
          <w:rFonts w:hint="eastAsia" w:ascii="宋体" w:hAnsi="宋体" w:eastAsia="宋体" w:cs="宋体"/>
          <w:b/>
          <w:bCs/>
          <w:sz w:val="44"/>
          <w:szCs w:val="44"/>
          <w:lang w:eastAsia="zh-CN"/>
        </w:rPr>
      </w:pPr>
      <w:r>
        <w:rPr>
          <w:rFonts w:hint="eastAsia" w:ascii="宋体" w:hAnsi="宋体" w:cs="宋体"/>
          <w:b/>
          <w:bCs/>
          <w:sz w:val="44"/>
          <w:szCs w:val="44"/>
          <w:lang w:val="en-US" w:eastAsia="zh-CN"/>
        </w:rPr>
        <w:t>投资服务局</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贯彻落实《关于印发</w:t>
      </w:r>
      <w:r>
        <w:rPr>
          <w:rFonts w:hint="eastAsia" w:ascii="仿宋_GB2312" w:hAnsi="仿宋_GB2312" w:eastAsia="仿宋_GB2312" w:cs="仿宋_GB2312"/>
          <w:sz w:val="32"/>
          <w:szCs w:val="32"/>
          <w:lang w:val="en-US" w:eastAsia="zh-CN"/>
        </w:rPr>
        <w:t>&lt;</w:t>
      </w:r>
      <w:r>
        <w:rPr>
          <w:rFonts w:hint="eastAsia" w:ascii="仿宋_GB2312" w:hAnsi="仿宋_GB2312" w:eastAsia="仿宋_GB2312" w:cs="仿宋_GB2312"/>
          <w:sz w:val="32"/>
          <w:szCs w:val="32"/>
        </w:rPr>
        <w:t>关于全面落实预算绩效管理的实施意见</w:t>
      </w:r>
      <w:r>
        <w:rPr>
          <w:rFonts w:hint="eastAsia" w:ascii="仿宋_GB2312" w:hAnsi="仿宋_GB2312" w:eastAsia="仿宋_GB2312" w:cs="仿宋_GB2312"/>
          <w:sz w:val="32"/>
          <w:szCs w:val="32"/>
          <w:lang w:val="en-US" w:eastAsia="zh-CN"/>
        </w:rPr>
        <w:t>&gt;</w:t>
      </w:r>
      <w:r>
        <w:rPr>
          <w:rFonts w:hint="eastAsia" w:ascii="仿宋_GB2312" w:hAnsi="仿宋_GB2312" w:eastAsia="仿宋_GB2312" w:cs="仿宋_GB2312"/>
          <w:sz w:val="32"/>
          <w:szCs w:val="32"/>
        </w:rPr>
        <w:t>的通知》（石开工委〔2023〕25号）文件精神，遵循“科学性、规范性、客观性和公正性”的原则，对</w:t>
      </w:r>
      <w:r>
        <w:rPr>
          <w:rFonts w:hint="eastAsia" w:ascii="仿宋_GB2312" w:hAnsi="仿宋_GB2312" w:eastAsia="仿宋_GB2312" w:cs="仿宋_GB2312"/>
          <w:sz w:val="32"/>
          <w:szCs w:val="32"/>
          <w:lang w:val="en-US" w:eastAsia="zh-CN"/>
        </w:rPr>
        <w:t>投资服务局</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5年度</w:t>
      </w:r>
      <w:r>
        <w:rPr>
          <w:rFonts w:hint="eastAsia" w:ascii="仿宋_GB2312" w:hAnsi="仿宋_GB2312" w:eastAsia="仿宋_GB2312" w:cs="仿宋_GB2312"/>
          <w:sz w:val="32"/>
          <w:szCs w:val="32"/>
        </w:rPr>
        <w:t>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1A296AD">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val="0"/>
          <w:i w:val="0"/>
          <w:strike w:val="0"/>
          <w:color w:val="auto"/>
          <w:kern w:val="0"/>
          <w:sz w:val="32"/>
          <w:szCs w:val="32"/>
          <w:lang w:val="en-US" w:eastAsia="zh-CN" w:bidi="ar"/>
        </w:rPr>
      </w:pPr>
      <w:r>
        <w:rPr>
          <w:rFonts w:hint="eastAsia" w:ascii="仿宋_GB2312" w:hAnsi="仿宋_GB2312" w:eastAsia="仿宋_GB2312" w:cs="仿宋_GB2312"/>
          <w:b w:val="0"/>
          <w:bCs w:val="0"/>
          <w:i w:val="0"/>
          <w:strike w:val="0"/>
          <w:color w:val="auto"/>
          <w:kern w:val="0"/>
          <w:sz w:val="32"/>
          <w:szCs w:val="32"/>
          <w:lang w:val="en-US" w:eastAsia="zh-CN" w:bidi="ar"/>
        </w:rPr>
        <w:t>1.投资服务局部门职责：</w:t>
      </w:r>
      <w:r>
        <w:rPr>
          <w:rFonts w:hint="eastAsia" w:ascii="仿宋_GB2312" w:hAnsi="仿宋_GB2312" w:eastAsia="仿宋_GB2312" w:cs="仿宋_GB2312"/>
          <w:b w:val="0"/>
          <w:bCs w:val="0"/>
          <w:i w:val="0"/>
          <w:strike w:val="0"/>
          <w:color w:val="auto"/>
          <w:kern w:val="0"/>
          <w:sz w:val="32"/>
          <w:szCs w:val="32"/>
          <w:u w:val="none"/>
          <w:lang w:val="en-US" w:eastAsia="zh-CN" w:bidi="ar"/>
        </w:rPr>
        <w:t>贯彻落实中央和省、市委关于招商引资、投资促进工作的方针政策、决策部署以及国家有关法律法规；负责拟订全区招商引资的发展规划及年度计划，研究制定和完善全区招商引资相关政策措施并组织实施；负责招商引资项目的联络、洽谈、考察、专家论证及上会组织等工作；负责招商引资政策宣传及信息推介工作；组织承办招商活动；负责投资企业协调促进和管理服务工作；搭建本地企业与国(内)外知名投资促进机构、科研院所、企业界开展经济、技术、贸易及人才交流合作的平台；</w:t>
      </w:r>
      <w:r>
        <w:rPr>
          <w:rFonts w:hint="eastAsia" w:ascii="仿宋_GB2312" w:hAnsi="仿宋_GB2312" w:eastAsia="仿宋_GB2312" w:cs="仿宋_GB2312"/>
          <w:b w:val="0"/>
          <w:bCs w:val="0"/>
          <w:i w:val="0"/>
          <w:strike w:val="0"/>
          <w:color w:val="auto"/>
          <w:kern w:val="0"/>
          <w:sz w:val="32"/>
          <w:szCs w:val="32"/>
          <w:lang w:val="en-US" w:eastAsia="zh-CN" w:bidi="ar"/>
        </w:rPr>
        <w:t>完成区党工委、管委会和上级部门交办的其他任务。</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二</w:t>
      </w:r>
      <w:r>
        <w:rPr>
          <w:rFonts w:hint="eastAsia" w:ascii="楷体" w:hAnsi="楷体" w:eastAsia="楷体" w:cs="楷体_GB2312"/>
          <w:bCs/>
          <w:sz w:val="32"/>
          <w:szCs w:val="32"/>
        </w:rPr>
        <w:t>）部门整体支出绩效目标、指标</w:t>
      </w:r>
    </w:p>
    <w:p w14:paraId="1DAE586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b w:val="0"/>
          <w:bCs w:val="0"/>
          <w:color w:val="auto"/>
          <w:spacing w:val="0"/>
          <w:kern w:val="2"/>
          <w:sz w:val="32"/>
          <w:szCs w:val="32"/>
          <w:highlight w:val="none"/>
          <w:u w:val="none"/>
          <w:lang w:val="en-US" w:eastAsia="zh-CN" w:bidi="ar-SA"/>
        </w:rPr>
      </w:pPr>
      <w:r>
        <w:rPr>
          <w:rFonts w:hint="eastAsia" w:ascii="仿宋_GB2312" w:hAnsi="仿宋_GB2312" w:eastAsia="仿宋_GB2312" w:cs="仿宋_GB2312"/>
          <w:b w:val="0"/>
          <w:bCs w:val="0"/>
          <w:color w:val="auto"/>
          <w:kern w:val="2"/>
          <w:sz w:val="32"/>
          <w:szCs w:val="32"/>
          <w:lang w:val="en-US" w:eastAsia="zh-CN" w:bidi="ar-SA"/>
        </w:rPr>
        <w:t>2025年，投资服务局将坚持以习近平新时代中国特色社会主义思想为指导，持续深入学习贯彻党的二十大及历次全会精神，认真贯彻落实区党工委、管委会各项工作部署，</w:t>
      </w:r>
      <w:r>
        <w:rPr>
          <w:rFonts w:hint="eastAsia" w:ascii="仿宋_GB2312" w:hAnsi="仿宋_GB2312" w:eastAsia="仿宋_GB2312" w:cs="仿宋_GB2312"/>
          <w:b w:val="0"/>
          <w:bCs w:val="0"/>
          <w:color w:val="auto"/>
          <w:spacing w:val="0"/>
          <w:kern w:val="2"/>
          <w:sz w:val="32"/>
          <w:szCs w:val="32"/>
          <w:highlight w:val="none"/>
          <w:u w:val="none"/>
          <w:lang w:val="en-US" w:eastAsia="zh-CN" w:bidi="ar-SA"/>
        </w:rPr>
        <w:t>坚持把招商引资作为经济高质量发展的“生命线”和“头号工程”，紧盯目标任务，狠抓项目招引，扩大对外开放，努力为经开区实现跨越赶超式发展贡献力量。</w:t>
      </w:r>
    </w:p>
    <w:p w14:paraId="1D3F07E3">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b w:val="0"/>
          <w:bCs w:val="0"/>
          <w:color w:val="0000FF"/>
          <w:kern w:val="2"/>
          <w:sz w:val="32"/>
          <w:szCs w:val="32"/>
          <w:lang w:val="en-US" w:eastAsia="zh-CN" w:bidi="ar-SA"/>
        </w:rPr>
      </w:pPr>
      <w:r>
        <w:rPr>
          <w:rFonts w:hint="eastAsia" w:ascii="仿宋_GB2312" w:hAnsi="仿宋_GB2312" w:eastAsia="仿宋_GB2312" w:cs="仿宋_GB2312"/>
          <w:b w:val="0"/>
          <w:bCs w:val="0"/>
          <w:color w:val="auto"/>
          <w:spacing w:val="0"/>
          <w:kern w:val="2"/>
          <w:sz w:val="32"/>
          <w:szCs w:val="32"/>
          <w:highlight w:val="none"/>
          <w:u w:val="none"/>
          <w:lang w:val="en-US" w:eastAsia="zh-CN" w:bidi="ar-SA"/>
        </w:rPr>
        <w:t>投资服务局将进一步加大招商引资力度，对现有主导产业进行梳理规划，明晰产业定位，精准确定新兴产业与未来产业招商方向，围绕主导产业招大引强，持续加大对世界500强、总部经济、主导产业项目、外资项目、大型央企、三产项目、高精尖项目、省外优质项目等的招引力度，着力招引一批优质产业化项目，以项目支撑带动经济发展，全年引进项目不少于200个，力争形成大项目顶天立地、小项目铺天盖地的良好局面。</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09A97B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138299D">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我局高度重视财政支出绩效自评工作，成立绩效评价工作小组，成立绩效自评工作专班，张燕任组长，李磊任副组长，孙绚丽、米汇贤、聂玉娟、李春威、张熙任组员；组织相关人员召开专题会议，传达自评价工作要求和部署各项工作安排。全面收集评价所需基础信息资料并对资料进行分类整理、审查和分析。</w:t>
      </w:r>
    </w:p>
    <w:p w14:paraId="75D29E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19C9394">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bookmarkStart w:id="0" w:name="_Toc26012"/>
      <w:r>
        <w:rPr>
          <w:rFonts w:hint="eastAsia" w:ascii="仿宋_GB2312" w:hAnsi="仿宋_GB2312" w:eastAsia="仿宋_GB2312" w:cs="仿宋_GB2312"/>
          <w:bCs/>
          <w:color w:val="000000" w:themeColor="text1"/>
          <w:spacing w:val="0"/>
          <w:kern w:val="2"/>
          <w:sz w:val="32"/>
          <w:szCs w:val="32"/>
          <w:lang w:val="en-US" w:eastAsia="zh-CN" w:bidi="ar-SA"/>
        </w:rPr>
        <w:t>1.自评的方法</w:t>
      </w:r>
      <w:bookmarkEnd w:id="0"/>
      <w:bookmarkStart w:id="1" w:name="_Toc25386"/>
    </w:p>
    <w:p w14:paraId="0B52E9D0">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本次绩效评价以评价指标体系为基础，主要采用成本效益分析法、因素分析法、比较分析法、综合指数评价法，具体指标评价采用百分制评分的形式来评定政策在制定、实施和效果各环节的实施和达成程度，在指标评价的基础上，由评价工作组综合分析，确定绩效整体的评价结论。</w:t>
      </w:r>
    </w:p>
    <w:p w14:paraId="2C5C422E">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成本效益分析法。是指将一定时期内总成本与总效益进行对比分析，以评价绩效目标实现程度。</w:t>
      </w:r>
    </w:p>
    <w:p w14:paraId="756F5D40">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比较分析法。是指通过对绩效目标与实施效果、历史与当期情况、不同部门和地区同类支出的比较，综合分析绩效目标实现程度。</w:t>
      </w:r>
    </w:p>
    <w:p w14:paraId="5F273F4A">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因素分析法。是指通过综合分析影响绩效目标实现、实施效果的内外因素，计算投入产出比的方法。</w:t>
      </w:r>
    </w:p>
    <w:p w14:paraId="123FD514">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综合指数评价法。是指把各项绩效指标的实际水平，对照评价标准值，分别计算各项指标评价得分，再按照设定的各项指标权数计算出综合评价得分，分析评价绩效目标实现情况的评价方法。</w:t>
      </w:r>
    </w:p>
    <w:bookmarkEnd w:id="1"/>
    <w:p w14:paraId="34171C3F">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bookmarkStart w:id="2" w:name="_Toc8765"/>
      <w:bookmarkStart w:id="3" w:name="_Toc14749"/>
      <w:bookmarkStart w:id="4" w:name="_Toc30312"/>
      <w:r>
        <w:rPr>
          <w:rFonts w:hint="eastAsia" w:ascii="仿宋_GB2312" w:hAnsi="仿宋_GB2312" w:eastAsia="仿宋_GB2312" w:cs="仿宋_GB2312"/>
          <w:bCs/>
          <w:color w:val="000000" w:themeColor="text1"/>
          <w:spacing w:val="0"/>
          <w:kern w:val="2"/>
          <w:sz w:val="32"/>
          <w:szCs w:val="32"/>
          <w:lang w:val="en-US" w:eastAsia="zh-CN" w:bidi="ar-SA"/>
        </w:rPr>
        <w:t>2.绩效自评</w:t>
      </w:r>
      <w:bookmarkEnd w:id="2"/>
      <w:bookmarkEnd w:id="3"/>
      <w:r>
        <w:rPr>
          <w:rFonts w:hint="eastAsia" w:ascii="仿宋_GB2312" w:hAnsi="仿宋_GB2312" w:eastAsia="仿宋_GB2312" w:cs="仿宋_GB2312"/>
          <w:bCs/>
          <w:color w:val="000000" w:themeColor="text1"/>
          <w:spacing w:val="0"/>
          <w:kern w:val="2"/>
          <w:sz w:val="32"/>
          <w:szCs w:val="32"/>
          <w:lang w:val="en-US" w:eastAsia="zh-CN" w:bidi="ar-SA"/>
        </w:rPr>
        <w:t>过程</w:t>
      </w:r>
      <w:bookmarkEnd w:id="4"/>
    </w:p>
    <w:p w14:paraId="2816D1A8">
      <w:pPr>
        <w:adjustRightInd w:val="0"/>
        <w:snapToGrid w:val="0"/>
        <w:spacing w:line="560" w:lineRule="exact"/>
        <w:ind w:firstLine="640" w:firstLineChars="200"/>
        <w:rPr>
          <w:rFonts w:hint="eastAsia" w:ascii="仿宋_GB2312" w:hAnsi="仿宋_GB2312" w:eastAsia="仿宋_GB2312" w:cs="仿宋_GB2312"/>
          <w:bCs/>
          <w:color w:val="000000" w:themeColor="text1"/>
          <w:spacing w:val="0"/>
          <w:kern w:val="2"/>
          <w:sz w:val="32"/>
          <w:szCs w:val="32"/>
          <w:lang w:val="en-US" w:eastAsia="zh-CN" w:bidi="ar-SA"/>
        </w:rPr>
      </w:pPr>
      <w:r>
        <w:rPr>
          <w:rFonts w:hint="eastAsia" w:ascii="仿宋_GB2312" w:hAnsi="仿宋_GB2312" w:eastAsia="仿宋_GB2312" w:cs="仿宋_GB2312"/>
          <w:bCs/>
          <w:color w:val="000000" w:themeColor="text1"/>
          <w:spacing w:val="0"/>
          <w:kern w:val="2"/>
          <w:sz w:val="32"/>
          <w:szCs w:val="32"/>
          <w:lang w:val="en-US" w:eastAsia="zh-CN" w:bidi="ar-SA"/>
        </w:rPr>
        <w:t>本次绩效自评将资金使用产出及效果与年初指标值相比较，完成相应指标值的，赋全部分值；未完成指标值的，按完成情况赋分，并对完成值低于指标值较多的，分析其形成原因，针对评价过程中发现的问题进一步提出相关意见建议，为以后年度我局履行部门职责作出更好的预算管理和资金安排。</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0C59011">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bCs/>
          <w:color w:val="000000" w:themeColor="text1"/>
          <w:spacing w:val="0"/>
          <w:kern w:val="2"/>
          <w:sz w:val="32"/>
          <w:szCs w:val="32"/>
          <w:lang w:val="en-US" w:eastAsia="zh-CN" w:bidi="ar-SA"/>
        </w:rPr>
        <w:t>在党工委、管委会的坚强领导下，经开区投资服务局始终坚持以习近平新时代中国特色社会主义思想为指导，深入学习贯彻党的二十大和二十届三中全会精神，坚持稳中求进工作总基调，团结带领局机关全体同志认真履行职责，落实党政机关习惯过紧日子要求，深入开展产业链招商、以商招商、基金招商、科技招商，精准对接世界500强、行业领军企业，举办、参加产业招商对接洽谈活动，与世界500强和大型央企开展对接洽谈活动，开展重点招商项目，凝聚招商强大合力，通过招商推介活动及多种方式的招商宣传，吸引到更多投资者来我区洽谈投资。</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58291742">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年工作计划，</w:t>
      </w:r>
      <w:r>
        <w:rPr>
          <w:rFonts w:hint="eastAsia" w:ascii="仿宋_GB2312" w:hAnsi="仿宋_GB2312" w:eastAsia="仿宋_GB2312" w:cs="仿宋_GB2312"/>
          <w:sz w:val="32"/>
          <w:szCs w:val="32"/>
          <w:lang w:val="en-US" w:eastAsia="zh-CN"/>
        </w:rPr>
        <w:t>投资服务局</w:t>
      </w:r>
      <w:r>
        <w:rPr>
          <w:rFonts w:hint="eastAsia" w:ascii="仿宋_GB2312" w:hAnsi="仿宋_GB2312" w:eastAsia="仿宋_GB2312" w:cs="仿宋_GB2312"/>
          <w:sz w:val="32"/>
          <w:szCs w:val="32"/>
        </w:rPr>
        <w:t>认真履行职责，较好地完成了当年的各项工作任务，已达到绩效目标要求。本次评价涉及资金</w:t>
      </w:r>
      <w:r>
        <w:rPr>
          <w:rFonts w:hint="eastAsia" w:ascii="仿宋_GB2312" w:hAnsi="仿宋_GB2312" w:eastAsia="仿宋_GB2312" w:cs="仿宋_GB2312"/>
          <w:sz w:val="32"/>
          <w:szCs w:val="32"/>
          <w:lang w:val="en-US" w:eastAsia="zh-CN"/>
        </w:rPr>
        <w:t>1449.60569</w:t>
      </w:r>
      <w:r>
        <w:rPr>
          <w:rFonts w:hint="eastAsia" w:ascii="仿宋_GB2312" w:hAnsi="仿宋_GB2312" w:eastAsia="仿宋_GB2312" w:cs="仿宋_GB2312"/>
          <w:sz w:val="32"/>
          <w:szCs w:val="32"/>
        </w:rPr>
        <w:t>万元，支出</w:t>
      </w:r>
      <w:r>
        <w:rPr>
          <w:rFonts w:hint="eastAsia" w:ascii="仿宋_GB2312" w:hAnsi="仿宋_GB2312" w:eastAsia="仿宋_GB2312" w:cs="仿宋_GB2312"/>
          <w:sz w:val="32"/>
          <w:szCs w:val="32"/>
          <w:lang w:val="en-US" w:eastAsia="zh-CN"/>
        </w:rPr>
        <w:t>1449.60569</w:t>
      </w:r>
      <w:r>
        <w:rPr>
          <w:rFonts w:hint="eastAsia" w:ascii="仿宋_GB2312" w:hAnsi="仿宋_GB2312" w:eastAsia="仿宋_GB2312" w:cs="仿宋_GB2312"/>
          <w:sz w:val="32"/>
          <w:szCs w:val="32"/>
        </w:rPr>
        <w:t>万元。具体情况如下：</w:t>
      </w:r>
    </w:p>
    <w:p w14:paraId="4BE37747">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综合办公经费6.75199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用于日常办公，</w:t>
      </w:r>
      <w:r>
        <w:rPr>
          <w:rFonts w:hint="eastAsia" w:ascii="仿宋_GB2312" w:hAnsi="仿宋_GB2312" w:eastAsia="仿宋_GB2312" w:cs="仿宋_GB2312"/>
          <w:sz w:val="32"/>
          <w:szCs w:val="32"/>
        </w:rPr>
        <w:t>实际支出</w:t>
      </w:r>
      <w:r>
        <w:rPr>
          <w:rFonts w:hint="eastAsia" w:ascii="仿宋_GB2312" w:hAnsi="仿宋_GB2312" w:eastAsia="仿宋_GB2312" w:cs="仿宋_GB2312"/>
          <w:sz w:val="32"/>
          <w:szCs w:val="32"/>
          <w:lang w:val="en-US" w:eastAsia="zh-CN"/>
        </w:rPr>
        <w:t>6.75199</w:t>
      </w:r>
      <w:r>
        <w:rPr>
          <w:rFonts w:hint="eastAsia" w:ascii="仿宋_GB2312" w:hAnsi="仿宋_GB2312" w:eastAsia="仿宋_GB2312" w:cs="仿宋_GB2312"/>
          <w:sz w:val="32"/>
          <w:szCs w:val="32"/>
        </w:rPr>
        <w:t>万元，预算执行率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保障了正常办公运转，</w:t>
      </w:r>
      <w:r>
        <w:rPr>
          <w:rFonts w:hint="eastAsia" w:ascii="仿宋_GB2312" w:hAnsi="仿宋_GB2312" w:eastAsia="仿宋_GB2312" w:cs="仿宋_GB2312"/>
          <w:sz w:val="32"/>
          <w:szCs w:val="32"/>
        </w:rPr>
        <w:t>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6A43C7E2">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日常商务活动经费3.1311万元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用于通过接待来我区考察重要企业及客商，</w:t>
      </w:r>
      <w:r>
        <w:rPr>
          <w:rFonts w:hint="eastAsia" w:ascii="仿宋_GB2312" w:hAnsi="仿宋_GB2312" w:eastAsia="仿宋_GB2312" w:cs="仿宋_GB2312"/>
          <w:sz w:val="32"/>
          <w:szCs w:val="32"/>
        </w:rPr>
        <w:t>实际支出3.1311万元，预算执行率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招引一批优质项目落户我区，</w:t>
      </w:r>
      <w:r>
        <w:rPr>
          <w:rFonts w:hint="eastAsia" w:ascii="仿宋_GB2312" w:hAnsi="仿宋_GB2312" w:eastAsia="仿宋_GB2312" w:cs="仿宋_GB2312"/>
          <w:sz w:val="32"/>
          <w:szCs w:val="32"/>
        </w:rPr>
        <w:t>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4919A520">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产业定位研究及园区招商路径规划经费183.2</w:t>
      </w:r>
      <w:r>
        <w:rPr>
          <w:rFonts w:hint="eastAsia" w:ascii="仿宋_GB2312" w:hAnsi="仿宋_GB2312" w:eastAsia="仿宋_GB2312" w:cs="仿宋_GB2312"/>
          <w:sz w:val="32"/>
          <w:szCs w:val="32"/>
          <w:lang w:val="en-US" w:eastAsia="zh-CN"/>
        </w:rPr>
        <w:t>万元，用于聘请第三方机构，进行产业定位研究，为园区提供招商路径规划服务，</w:t>
      </w:r>
      <w:r>
        <w:rPr>
          <w:rFonts w:hint="eastAsia" w:ascii="仿宋_GB2312" w:hAnsi="仿宋_GB2312" w:eastAsia="仿宋_GB2312" w:cs="仿宋_GB2312"/>
          <w:sz w:val="32"/>
          <w:szCs w:val="32"/>
        </w:rPr>
        <w:t>实际支出183.2万元，预算执行率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，量身定制靶向招商方案与落地策略，全面提升园区招商精准度、项目落地率与产业集聚效能，自</w:t>
      </w:r>
      <w:r>
        <w:rPr>
          <w:rFonts w:hint="eastAsia" w:ascii="仿宋_GB2312" w:hAnsi="仿宋_GB2312" w:eastAsia="仿宋_GB2312" w:cs="仿宋_GB2312"/>
          <w:sz w:val="32"/>
          <w:szCs w:val="32"/>
        </w:rPr>
        <w:t>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1ABDAFD6">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精准招商机构服务费12万元，用于聘请第三方招商机构，搭建本地企业与国（内）外知名投资促进机构、科研院所、企业界开展经济、技术、贸易及人才交流合作的平台，</w:t>
      </w:r>
      <w:r>
        <w:rPr>
          <w:rFonts w:hint="eastAsia" w:ascii="仿宋_GB2312" w:hAnsi="仿宋_GB2312" w:eastAsia="仿宋_GB2312" w:cs="仿宋_GB2312"/>
          <w:sz w:val="32"/>
          <w:szCs w:val="32"/>
        </w:rPr>
        <w:t>实际支出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万元，预算执行率</w:t>
      </w:r>
      <w:r>
        <w:rPr>
          <w:rFonts w:hint="eastAsia" w:ascii="仿宋_GB2312" w:hAnsi="仿宋_GB2312" w:eastAsia="仿宋_GB2312" w:cs="仿宋_GB2312"/>
          <w:sz w:val="32"/>
          <w:szCs w:val="32"/>
          <w:lang w:val="en-US" w:eastAsia="zh-CN"/>
        </w:rPr>
        <w:t>100%，深化经贸、技术、人才等全方位交流合作，推动优质项目、先进成果与高端要素加速集聚落地，自评</w:t>
      </w:r>
      <w:r>
        <w:rPr>
          <w:rFonts w:hint="eastAsia" w:ascii="仿宋_GB2312" w:hAnsi="仿宋_GB2312" w:eastAsia="仿宋_GB2312" w:cs="仿宋_GB2312"/>
          <w:sz w:val="32"/>
          <w:szCs w:val="32"/>
        </w:rPr>
        <w:t>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295431DA">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招商活动经费94.1619万元，用于组织、参加招商活动，宣传推介经开区，提升知名度、影响力，</w:t>
      </w:r>
      <w:r>
        <w:rPr>
          <w:rFonts w:hint="eastAsia" w:ascii="仿宋_GB2312" w:hAnsi="仿宋_GB2312" w:eastAsia="仿宋_GB2312" w:cs="仿宋_GB2312"/>
          <w:sz w:val="32"/>
          <w:szCs w:val="32"/>
        </w:rPr>
        <w:t>实际支出</w:t>
      </w:r>
      <w:r>
        <w:rPr>
          <w:rFonts w:hint="eastAsia" w:ascii="仿宋_GB2312" w:hAnsi="仿宋_GB2312" w:eastAsia="仿宋_GB2312" w:cs="仿宋_GB2312"/>
          <w:sz w:val="32"/>
          <w:szCs w:val="32"/>
          <w:lang w:val="en-US" w:eastAsia="zh-CN"/>
        </w:rPr>
        <w:t>94.1619</w:t>
      </w:r>
      <w:r>
        <w:rPr>
          <w:rFonts w:hint="eastAsia" w:ascii="仿宋_GB2312" w:hAnsi="仿宋_GB2312" w:eastAsia="仿宋_GB2312" w:cs="仿宋_GB2312"/>
          <w:sz w:val="32"/>
          <w:szCs w:val="32"/>
        </w:rPr>
        <w:t>万元，有效拓宽招商对接渠道、集聚优质项目资源，持续增强经开区区域吸引力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7E025248">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外出招商引资经费37.2607万元，用于外出招商考察对接项目，</w:t>
      </w:r>
      <w:r>
        <w:rPr>
          <w:rFonts w:hint="eastAsia" w:ascii="仿宋_GB2312" w:hAnsi="仿宋_GB2312" w:eastAsia="仿宋_GB2312" w:cs="仿宋_GB2312"/>
          <w:sz w:val="32"/>
          <w:szCs w:val="32"/>
        </w:rPr>
        <w:t>实际支出</w:t>
      </w:r>
      <w:r>
        <w:rPr>
          <w:rFonts w:hint="eastAsia" w:ascii="仿宋_GB2312" w:hAnsi="仿宋_GB2312" w:eastAsia="仿宋_GB2312" w:cs="仿宋_GB2312"/>
          <w:sz w:val="32"/>
          <w:szCs w:val="32"/>
          <w:lang w:val="en-US" w:eastAsia="zh-CN"/>
        </w:rPr>
        <w:t>37.2607</w:t>
      </w:r>
      <w:r>
        <w:rPr>
          <w:rFonts w:hint="eastAsia" w:ascii="仿宋_GB2312" w:hAnsi="仿宋_GB2312" w:eastAsia="仿宋_GB2312" w:cs="仿宋_GB2312"/>
          <w:sz w:val="32"/>
          <w:szCs w:val="32"/>
        </w:rPr>
        <w:t>万元，预算执行率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%，高效挖掘优质招商资源，拓宽项目来源渠道，推动意向项目加快转化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6A5882C1">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提前下达2025年市级外商投资企业奖励资金513.1万元，用于落实各项奖补政策，鼓励支持外商加大投资力度，</w:t>
      </w:r>
      <w:r>
        <w:rPr>
          <w:rFonts w:hint="eastAsia" w:ascii="仿宋_GB2312" w:hAnsi="仿宋_GB2312" w:eastAsia="仿宋_GB2312" w:cs="仿宋_GB2312"/>
          <w:sz w:val="32"/>
          <w:szCs w:val="32"/>
        </w:rPr>
        <w:t>实际支出</w:t>
      </w:r>
      <w:r>
        <w:rPr>
          <w:rFonts w:hint="eastAsia" w:ascii="仿宋_GB2312" w:hAnsi="仿宋_GB2312" w:eastAsia="仿宋_GB2312" w:cs="仿宋_GB2312"/>
          <w:sz w:val="32"/>
          <w:szCs w:val="32"/>
          <w:lang w:val="en-US" w:eastAsia="zh-CN"/>
        </w:rPr>
        <w:t>513.1万元</w:t>
      </w:r>
      <w:r>
        <w:rPr>
          <w:rFonts w:hint="eastAsia" w:ascii="仿宋_GB2312" w:hAnsi="仿宋_GB2312" w:eastAsia="仿宋_GB2312" w:cs="仿宋_GB2312"/>
          <w:sz w:val="32"/>
          <w:szCs w:val="32"/>
        </w:rPr>
        <w:t>，预算执行率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%，精准落地外商投资奖补政策，切实提振外商投资信心、优化外资发展预期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0E4F7898">
      <w:pPr>
        <w:adjustRightInd w:val="0"/>
        <w:snapToGrid w:val="0"/>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浙江大学技术转移中心石家庄中心运营经费600万元，用于拨付浙江大学技术转移中心石家庄中心运营经费，助力经开区创新发展，</w:t>
      </w:r>
      <w:r>
        <w:rPr>
          <w:rFonts w:hint="eastAsia" w:ascii="仿宋_GB2312" w:hAnsi="仿宋_GB2312" w:eastAsia="仿宋_GB2312" w:cs="仿宋_GB2312"/>
          <w:sz w:val="32"/>
          <w:szCs w:val="32"/>
        </w:rPr>
        <w:t>实际支出</w:t>
      </w:r>
      <w:r>
        <w:rPr>
          <w:rFonts w:hint="eastAsia" w:ascii="仿宋_GB2312" w:hAnsi="仿宋_GB2312" w:eastAsia="仿宋_GB2312" w:cs="仿宋_GB2312"/>
          <w:sz w:val="32"/>
          <w:szCs w:val="32"/>
          <w:lang w:val="en-US" w:eastAsia="zh-CN"/>
        </w:rPr>
        <w:t>600万元</w:t>
      </w:r>
      <w:r>
        <w:rPr>
          <w:rFonts w:hint="eastAsia" w:ascii="仿宋_GB2312" w:hAnsi="仿宋_GB2312" w:eastAsia="仿宋_GB2312" w:cs="仿宋_GB2312"/>
          <w:sz w:val="32"/>
          <w:szCs w:val="32"/>
        </w:rPr>
        <w:t>，预算执行率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%，强化经开区科技创新支撑体系，为培育新质生产力、推动产业创新升级提供持续动力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3A70112">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根据部门职责定位和各项工作履职情况进行综合评价，绩效评价小组对我局2025年度项目经费的使用绩效进行了综合评定，综合评价得分100分，绩效评价等次为“优秀”。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5879983">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E6B270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lang w:val="en-US" w:eastAsia="zh-CN"/>
        </w:rPr>
        <w:t>通过对绩效自评结果开展对比分析，反向追溯年初绩效目标的设定后发现，我局的绩效目标的设立较为清晰明确，但在效益指标的设定环节存在精准度不足的问</w:t>
      </w:r>
      <w:bookmarkStart w:id="5" w:name="_GoBack"/>
      <w:bookmarkEnd w:id="5"/>
      <w:r>
        <w:rPr>
          <w:rFonts w:hint="eastAsia" w:ascii="仿宋_GB2312" w:hAnsi="仿宋_GB2312" w:eastAsia="仿宋_GB2312" w:cs="仿宋_GB2312"/>
          <w:sz w:val="32"/>
          <w:szCs w:val="32"/>
          <w:lang w:val="en-US" w:eastAsia="zh-CN"/>
        </w:rPr>
        <w:t>题，指标的文字表述未能达到精细化要求，在目标界定的准确性层面有待进一步优化。</w:t>
      </w:r>
    </w:p>
    <w:p w14:paraId="00684999">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5C92834">
      <w:pPr>
        <w:adjustRightInd w:val="0"/>
        <w:snapToGrid w:val="0"/>
        <w:spacing w:line="560" w:lineRule="exact"/>
        <w:ind w:firstLine="640" w:firstLineChars="200"/>
        <w:rPr>
          <w:rFonts w:hint="eastAsia" w:ascii="仿宋" w:hAnsi="仿宋" w:eastAsia="仿宋"/>
          <w:lang w:eastAsia="zh-CN"/>
        </w:rPr>
      </w:pPr>
      <w:r>
        <w:rPr>
          <w:rFonts w:hint="eastAsia" w:ascii="仿宋_GB2312" w:hAnsi="仿宋_GB2312" w:eastAsia="仿宋_GB2312" w:cs="仿宋_GB2312"/>
          <w:sz w:val="32"/>
          <w:szCs w:val="32"/>
          <w:lang w:val="en-US" w:eastAsia="zh-CN"/>
        </w:rPr>
        <w:t>我局将加强财务人员业务学习，严格按照预算资金评价相关规定做好项目绩效管理工作，科学合理制定绩效目标，充分发挥绩效工作效用。</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55B3523"/>
    <w:rsid w:val="07956271"/>
    <w:rsid w:val="09721397"/>
    <w:rsid w:val="0BB63BED"/>
    <w:rsid w:val="0EB97A43"/>
    <w:rsid w:val="0EBD2122"/>
    <w:rsid w:val="0F214EAE"/>
    <w:rsid w:val="0F242EBB"/>
    <w:rsid w:val="11B71E6A"/>
    <w:rsid w:val="1AAF0063"/>
    <w:rsid w:val="1BE140DE"/>
    <w:rsid w:val="1E542E40"/>
    <w:rsid w:val="1E561B1F"/>
    <w:rsid w:val="23720241"/>
    <w:rsid w:val="241B6C18"/>
    <w:rsid w:val="248C197D"/>
    <w:rsid w:val="252959AF"/>
    <w:rsid w:val="277A6671"/>
    <w:rsid w:val="28AD5641"/>
    <w:rsid w:val="292D35B7"/>
    <w:rsid w:val="33EB6CFF"/>
    <w:rsid w:val="35A12947"/>
    <w:rsid w:val="37387040"/>
    <w:rsid w:val="398E3AAC"/>
    <w:rsid w:val="3B625C0A"/>
    <w:rsid w:val="3CEE1963"/>
    <w:rsid w:val="3F5D4CFD"/>
    <w:rsid w:val="42BF647C"/>
    <w:rsid w:val="435B216E"/>
    <w:rsid w:val="436B78D3"/>
    <w:rsid w:val="43CC4541"/>
    <w:rsid w:val="45192426"/>
    <w:rsid w:val="46912474"/>
    <w:rsid w:val="4C9C27FE"/>
    <w:rsid w:val="50E075A1"/>
    <w:rsid w:val="512260B4"/>
    <w:rsid w:val="52BD6ACB"/>
    <w:rsid w:val="55537534"/>
    <w:rsid w:val="55C8432B"/>
    <w:rsid w:val="561A74F1"/>
    <w:rsid w:val="58B17416"/>
    <w:rsid w:val="596C4629"/>
    <w:rsid w:val="597244E8"/>
    <w:rsid w:val="5BF3746A"/>
    <w:rsid w:val="5EB71C30"/>
    <w:rsid w:val="61496668"/>
    <w:rsid w:val="66AF0CE5"/>
    <w:rsid w:val="68AC2130"/>
    <w:rsid w:val="6AC537CF"/>
    <w:rsid w:val="6D191A8D"/>
    <w:rsid w:val="6D933D09"/>
    <w:rsid w:val="6E5B14A6"/>
    <w:rsid w:val="711B255E"/>
    <w:rsid w:val="7BB51E06"/>
    <w:rsid w:val="7C387F7C"/>
    <w:rsid w:val="7D100E16"/>
    <w:rsid w:val="7EBE0689"/>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2245</Words>
  <Characters>2410</Characters>
  <Lines>4</Lines>
  <Paragraphs>1</Paragraphs>
  <TotalTime>6</TotalTime>
  <ScaleCrop>false</ScaleCrop>
  <LinksUpToDate>false</LinksUpToDate>
  <CharactersWithSpaces>2427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蹦蹦</cp:lastModifiedBy>
  <cp:lastPrinted>2026-04-14T01:41:00Z</cp:lastPrinted>
  <dcterms:modified xsi:type="dcterms:W3CDTF">2026-05-07T06:55:09Z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eyJoZGlkIjoiMmRkMDY4YTVhZmFhMjA1NzJjODM3Y2VjYTk0MmY0OTkiLCJ1c2VySWQiOiIxNDQ0NDg5MjkwIn0=</vt:lpwstr>
  </property>
</Properties>
</file>