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22C21C">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4</w:t>
      </w:r>
    </w:p>
    <w:p w14:paraId="0658804C">
      <w:pPr>
        <w:keepNext w:val="0"/>
        <w:keepLines w:val="0"/>
        <w:pageBreakBefore w:val="0"/>
        <w:widowControl w:val="0"/>
        <w:kinsoku/>
        <w:wordWrap/>
        <w:overflowPunct/>
        <w:topLinePunct w:val="0"/>
        <w:autoSpaceDE/>
        <w:autoSpaceDN/>
        <w:bidi w:val="0"/>
        <w:spacing w:line="560" w:lineRule="exact"/>
        <w:jc w:val="center"/>
        <w:textAlignment w:val="auto"/>
        <w:rPr>
          <w:rFonts w:ascii="宋体" w:hAnsi="宋体" w:cs="宋体"/>
          <w:b/>
          <w:bCs/>
          <w:sz w:val="44"/>
          <w:szCs w:val="44"/>
        </w:rPr>
      </w:pPr>
    </w:p>
    <w:p w14:paraId="42BECF83">
      <w:pPr>
        <w:keepNext w:val="0"/>
        <w:keepLines w:val="0"/>
        <w:pageBreakBefore w:val="0"/>
        <w:widowControl w:val="0"/>
        <w:kinsoku/>
        <w:wordWrap/>
        <w:overflowPunct/>
        <w:topLinePunct w:val="0"/>
        <w:autoSpaceDE/>
        <w:autoSpaceDN/>
        <w:bidi w:val="0"/>
        <w:spacing w:line="560" w:lineRule="exact"/>
        <w:jc w:val="center"/>
        <w:textAlignment w:val="auto"/>
        <w:rPr>
          <w:rFonts w:hint="eastAsia" w:ascii="方正小标宋_GBK" w:hAnsi="方正小标宋_GBK" w:eastAsia="方正小标宋_GBK" w:cs="方正小标宋_GBK"/>
          <w:b w:val="0"/>
          <w:bCs w:val="0"/>
          <w:sz w:val="44"/>
          <w:szCs w:val="44"/>
          <w:lang w:eastAsia="zh-CN"/>
        </w:rPr>
      </w:pPr>
      <w:r>
        <w:rPr>
          <w:rFonts w:hint="eastAsia" w:ascii="方正小标宋_GBK" w:hAnsi="方正小标宋_GBK" w:eastAsia="方正小标宋_GBK" w:cs="方正小标宋_GBK"/>
          <w:b w:val="0"/>
          <w:bCs w:val="0"/>
          <w:sz w:val="44"/>
          <w:szCs w:val="44"/>
          <w:lang w:eastAsia="zh-CN"/>
        </w:rPr>
        <w:t>石家庄经济技术开发区社会发展局</w:t>
      </w:r>
    </w:p>
    <w:p w14:paraId="71578970">
      <w:pPr>
        <w:keepNext w:val="0"/>
        <w:keepLines w:val="0"/>
        <w:pageBreakBefore w:val="0"/>
        <w:widowControl w:val="0"/>
        <w:kinsoku/>
        <w:wordWrap/>
        <w:overflowPunct/>
        <w:topLinePunct w:val="0"/>
        <w:autoSpaceDE/>
        <w:autoSpaceDN/>
        <w:bidi w:val="0"/>
        <w:spacing w:line="560" w:lineRule="exact"/>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202</w:t>
      </w:r>
      <w:r>
        <w:rPr>
          <w:rFonts w:hint="eastAsia" w:ascii="方正小标宋_GBK" w:hAnsi="方正小标宋_GBK" w:eastAsia="方正小标宋_GBK" w:cs="方正小标宋_GBK"/>
          <w:b w:val="0"/>
          <w:bCs w:val="0"/>
          <w:sz w:val="44"/>
          <w:szCs w:val="44"/>
          <w:lang w:val="en-US" w:eastAsia="zh-CN"/>
        </w:rPr>
        <w:t>5</w:t>
      </w:r>
      <w:r>
        <w:rPr>
          <w:rFonts w:hint="eastAsia" w:ascii="方正小标宋_GBK" w:hAnsi="方正小标宋_GBK" w:eastAsia="方正小标宋_GBK" w:cs="方正小标宋_GBK"/>
          <w:b w:val="0"/>
          <w:bCs w:val="0"/>
          <w:sz w:val="44"/>
          <w:szCs w:val="44"/>
        </w:rPr>
        <w:t>年度整体支出绩效自评报告</w:t>
      </w:r>
    </w:p>
    <w:p w14:paraId="7DB97C26">
      <w:pPr>
        <w:keepNext w:val="0"/>
        <w:keepLines w:val="0"/>
        <w:pageBreakBefore w:val="0"/>
        <w:widowControl w:val="0"/>
        <w:kinsoku/>
        <w:wordWrap/>
        <w:overflowPunct/>
        <w:topLinePunct w:val="0"/>
        <w:autoSpaceDE/>
        <w:autoSpaceDN/>
        <w:bidi w:val="0"/>
        <w:spacing w:line="560" w:lineRule="exact"/>
        <w:jc w:val="center"/>
        <w:textAlignment w:val="auto"/>
        <w:rPr>
          <w:rFonts w:ascii="华文楷体" w:eastAsia="华文楷体"/>
          <w:sz w:val="32"/>
          <w:szCs w:val="32"/>
        </w:rPr>
      </w:pPr>
    </w:p>
    <w:p w14:paraId="49821B4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贯彻落实《关于印发</w:t>
      </w:r>
      <w:r>
        <w:rPr>
          <w:rFonts w:hint="eastAsia" w:ascii="仿宋_GB2312" w:hAnsi="仿宋_GB2312" w:eastAsia="仿宋_GB2312" w:cs="仿宋_GB2312"/>
          <w:sz w:val="32"/>
          <w:szCs w:val="32"/>
          <w:lang w:val="en-US" w:eastAsia="zh-CN"/>
        </w:rPr>
        <w:t>&lt;</w:t>
      </w:r>
      <w:r>
        <w:rPr>
          <w:rFonts w:hint="eastAsia" w:ascii="仿宋_GB2312" w:hAnsi="仿宋_GB2312" w:eastAsia="仿宋_GB2312" w:cs="仿宋_GB2312"/>
          <w:sz w:val="32"/>
          <w:szCs w:val="32"/>
        </w:rPr>
        <w:t>关于全面落实预算绩效管理的实施意见</w:t>
      </w:r>
      <w:r>
        <w:rPr>
          <w:rFonts w:hint="eastAsia" w:ascii="仿宋_GB2312" w:hAnsi="仿宋_GB2312" w:eastAsia="仿宋_GB2312" w:cs="仿宋_GB2312"/>
          <w:sz w:val="32"/>
          <w:szCs w:val="32"/>
          <w:lang w:val="en-US" w:eastAsia="zh-CN"/>
        </w:rPr>
        <w:t>&gt;</w:t>
      </w:r>
      <w:r>
        <w:rPr>
          <w:rFonts w:hint="eastAsia" w:ascii="仿宋_GB2312" w:hAnsi="仿宋_GB2312" w:eastAsia="仿宋_GB2312" w:cs="仿宋_GB2312"/>
          <w:sz w:val="32"/>
          <w:szCs w:val="32"/>
        </w:rPr>
        <w:t>的通知》（石开工委〔2023〕25号）文件精神，遵循“科学性、规范性、客观性和公正性”的原则，对</w:t>
      </w:r>
      <w:r>
        <w:rPr>
          <w:rFonts w:hint="eastAsia" w:ascii="仿宋_GB2312" w:hAnsi="仿宋_GB2312" w:eastAsia="仿宋_GB2312" w:cs="仿宋_GB2312"/>
          <w:sz w:val="32"/>
          <w:szCs w:val="32"/>
          <w:lang w:eastAsia="zh-CN"/>
        </w:rPr>
        <w:t>社会发展局部门</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5年度</w:t>
      </w:r>
      <w:r>
        <w:rPr>
          <w:rFonts w:hint="eastAsia" w:ascii="仿宋_GB2312" w:hAnsi="仿宋_GB2312" w:eastAsia="仿宋_GB2312" w:cs="仿宋_GB2312"/>
          <w:sz w:val="32"/>
          <w:szCs w:val="32"/>
        </w:rPr>
        <w:t>整体支出情况实施了财政支出绩效自评价，形成本评价报告。</w:t>
      </w:r>
    </w:p>
    <w:p w14:paraId="104816EB">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ascii="黑体" w:hAnsi="黑体" w:eastAsia="黑体"/>
          <w:b/>
          <w:bCs/>
          <w:sz w:val="32"/>
          <w:szCs w:val="36"/>
        </w:rPr>
      </w:pPr>
      <w:r>
        <w:rPr>
          <w:rFonts w:hint="eastAsia" w:ascii="黑体" w:hAnsi="黑体" w:eastAsia="黑体"/>
          <w:sz w:val="32"/>
          <w:szCs w:val="32"/>
        </w:rPr>
        <w:t xml:space="preserve">     一、部门</w:t>
      </w:r>
      <w:r>
        <w:rPr>
          <w:rFonts w:hint="eastAsia" w:ascii="黑体" w:hAnsi="黑体" w:eastAsia="黑体"/>
          <w:sz w:val="32"/>
          <w:szCs w:val="36"/>
        </w:rPr>
        <w:t>基本情况</w:t>
      </w:r>
    </w:p>
    <w:p w14:paraId="3E4236F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楷体_GB2312" w:hAnsi="楷体_GB2312" w:eastAsia="楷体_GB2312" w:cs="楷体_GB2312"/>
          <w:bCs/>
          <w:sz w:val="32"/>
          <w:szCs w:val="32"/>
        </w:rPr>
      </w:pPr>
      <w:r>
        <w:rPr>
          <w:rFonts w:hint="eastAsia" w:ascii="楷体_GB2312" w:hAnsi="楷体_GB2312" w:eastAsia="楷体_GB2312" w:cs="楷体_GB2312"/>
          <w:bCs/>
          <w:sz w:val="32"/>
          <w:szCs w:val="32"/>
        </w:rPr>
        <w:t>（一）部门概况</w:t>
      </w:r>
    </w:p>
    <w:p w14:paraId="78B690F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社会发展局</w:t>
      </w:r>
      <w:r>
        <w:rPr>
          <w:rFonts w:hint="eastAsia" w:ascii="仿宋_GB2312" w:hAnsi="仿宋_GB2312" w:eastAsia="仿宋_GB2312" w:cs="仿宋_GB2312"/>
          <w:sz w:val="32"/>
          <w:szCs w:val="32"/>
          <w:lang w:eastAsia="zh-CN"/>
        </w:rPr>
        <w:t>在</w:t>
      </w:r>
      <w:r>
        <w:rPr>
          <w:rFonts w:hint="eastAsia" w:ascii="仿宋_GB2312" w:hAnsi="仿宋_GB2312" w:eastAsia="仿宋_GB2312" w:cs="仿宋_GB2312"/>
          <w:sz w:val="32"/>
          <w:szCs w:val="32"/>
        </w:rPr>
        <w:t>石家庄经济技术开发区党工委领导下</w:t>
      </w:r>
      <w:r>
        <w:rPr>
          <w:rFonts w:hint="eastAsia" w:ascii="仿宋_GB2312" w:hAnsi="仿宋_GB2312" w:eastAsia="仿宋_GB2312" w:cs="仿宋_GB2312"/>
          <w:sz w:val="32"/>
          <w:szCs w:val="32"/>
          <w:lang w:eastAsia="zh-CN"/>
        </w:rPr>
        <w:t>，全面</w:t>
      </w:r>
      <w:r>
        <w:rPr>
          <w:rFonts w:hint="eastAsia" w:ascii="仿宋_GB2312" w:hAnsi="仿宋_GB2312" w:eastAsia="仿宋_GB2312" w:cs="仿宋_GB2312"/>
          <w:sz w:val="32"/>
          <w:szCs w:val="32"/>
        </w:rPr>
        <w:t>贯彻落实中央和省、市委关于文化、体育、法制、退役军人、残疾人工作的方针政策、决策部署以及国家有关法律法规；负责研究和编制全区社会事业发展总体规划、中长期规划和年度计划，经批准后组织实施；负责全区卫生健康等工作；负责全区退役军人事务管理工作；负责全区文化、体育、旅游管理相关工作；负责全区统一战线民族宗教等工作；负责全区法制建设、政法、维护社会稳定和综合治理工作；负责全区信访工作；负责全区残疾人事业工作；负责全区农业农村工作；负责社区管理工作，负责与驻地相关部门协调联络民政、教育等各类社会事务；联络人大和政协工作。</w:t>
      </w:r>
    </w:p>
    <w:p w14:paraId="1D1EDCF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楷体_GB2312" w:hAnsi="楷体_GB2312" w:eastAsia="楷体_GB2312" w:cs="楷体_GB2312"/>
          <w:bCs/>
          <w:sz w:val="32"/>
          <w:szCs w:val="32"/>
        </w:rPr>
      </w:pPr>
      <w:r>
        <w:rPr>
          <w:rFonts w:hint="eastAsia" w:ascii="楷体_GB2312" w:hAnsi="楷体_GB2312" w:eastAsia="楷体_GB2312" w:cs="楷体_GB2312"/>
          <w:bCs/>
          <w:sz w:val="32"/>
          <w:szCs w:val="32"/>
        </w:rPr>
        <w:t>（</w:t>
      </w:r>
      <w:r>
        <w:rPr>
          <w:rFonts w:hint="eastAsia" w:ascii="楷体_GB2312" w:hAnsi="楷体_GB2312" w:eastAsia="楷体_GB2312" w:cs="楷体_GB2312"/>
          <w:bCs/>
          <w:sz w:val="32"/>
          <w:szCs w:val="32"/>
          <w:lang w:val="en-US" w:eastAsia="zh-CN"/>
        </w:rPr>
        <w:t>二</w:t>
      </w:r>
      <w:r>
        <w:rPr>
          <w:rFonts w:hint="eastAsia" w:ascii="楷体_GB2312" w:hAnsi="楷体_GB2312" w:eastAsia="楷体_GB2312" w:cs="楷体_GB2312"/>
          <w:bCs/>
          <w:sz w:val="32"/>
          <w:szCs w:val="32"/>
        </w:rPr>
        <w:t>）部门整体支出绩效目标、指标</w:t>
      </w:r>
    </w:p>
    <w:p w14:paraId="152C76E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社会发展局</w:t>
      </w:r>
      <w:r>
        <w:rPr>
          <w:rFonts w:hint="eastAsia" w:ascii="仿宋_GB2312" w:hAnsi="仿宋_GB2312" w:eastAsia="仿宋_GB2312" w:cs="仿宋_GB2312"/>
          <w:sz w:val="32"/>
          <w:szCs w:val="32"/>
        </w:rPr>
        <w:t>聚焦经开区社会民生领域重点难点，力争推动全区卫生健康、退役军人事务、文化、体育、旅游、维护社会稳定、综合治理、、残疾人、农业农村、民政、教育、社区管理等各类社会事务在更大范围、更宽领域、更新层次上取得新成效。</w:t>
      </w:r>
    </w:p>
    <w:p w14:paraId="22C4084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 w:hAnsi="仿宋" w:eastAsia="仿宋"/>
          <w:color w:val="auto"/>
          <w:sz w:val="32"/>
          <w:szCs w:val="32"/>
        </w:rPr>
      </w:pP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年我部门整体预算4920.907597万元，涉及项目</w:t>
      </w:r>
      <w:r>
        <w:rPr>
          <w:rFonts w:hint="eastAsia" w:ascii="仿宋_GB2312" w:hAnsi="仿宋_GB2312" w:eastAsia="仿宋_GB2312" w:cs="仿宋_GB2312"/>
          <w:color w:val="auto"/>
          <w:sz w:val="32"/>
          <w:szCs w:val="32"/>
          <w:lang w:val="en-US" w:eastAsia="zh-CN"/>
        </w:rPr>
        <w:t>211</w:t>
      </w:r>
      <w:r>
        <w:rPr>
          <w:rFonts w:hint="eastAsia" w:ascii="仿宋_GB2312" w:hAnsi="仿宋_GB2312" w:eastAsia="仿宋_GB2312" w:cs="仿宋_GB2312"/>
          <w:color w:val="auto"/>
          <w:sz w:val="32"/>
          <w:szCs w:val="32"/>
        </w:rPr>
        <w:t>个，全年预算执行数4860.828962万元，其中：农业农村支出213.583159万元，占总支出总额</w:t>
      </w:r>
      <w:r>
        <w:rPr>
          <w:rFonts w:hint="eastAsia" w:ascii="仿宋_GB2312" w:hAnsi="仿宋_GB2312" w:eastAsia="仿宋_GB2312" w:cs="仿宋_GB2312"/>
          <w:color w:val="auto"/>
          <w:sz w:val="32"/>
          <w:szCs w:val="32"/>
          <w:lang w:val="en-US" w:eastAsia="zh-CN"/>
        </w:rPr>
        <w:t>4.39</w:t>
      </w:r>
      <w:r>
        <w:rPr>
          <w:rFonts w:hint="eastAsia" w:ascii="仿宋_GB2312" w:hAnsi="仿宋_GB2312" w:eastAsia="仿宋_GB2312" w:cs="仿宋_GB2312"/>
          <w:color w:val="auto"/>
          <w:sz w:val="32"/>
          <w:szCs w:val="32"/>
        </w:rPr>
        <w:t>%；医疗卫生服务支出1490.1963万元，占总支出总额</w:t>
      </w:r>
      <w:r>
        <w:rPr>
          <w:rFonts w:hint="eastAsia" w:ascii="仿宋_GB2312" w:hAnsi="仿宋_GB2312" w:eastAsia="仿宋_GB2312" w:cs="仿宋_GB2312"/>
          <w:color w:val="auto"/>
          <w:sz w:val="32"/>
          <w:szCs w:val="32"/>
          <w:lang w:val="en-US" w:eastAsia="zh-CN"/>
        </w:rPr>
        <w:t>30.66</w:t>
      </w:r>
      <w:r>
        <w:rPr>
          <w:rFonts w:hint="eastAsia" w:ascii="仿宋_GB2312" w:hAnsi="仿宋_GB2312" w:eastAsia="仿宋_GB2312" w:cs="仿宋_GB2312"/>
          <w:color w:val="auto"/>
          <w:sz w:val="32"/>
          <w:szCs w:val="32"/>
        </w:rPr>
        <w:t>%；退役军人服务保障支出1455.32141</w:t>
      </w:r>
      <w:r>
        <w:rPr>
          <w:rFonts w:hint="eastAsia" w:ascii="仿宋_GB2312" w:hAnsi="仿宋_GB2312" w:eastAsia="仿宋_GB2312" w:cs="仿宋_GB2312"/>
          <w:color w:val="auto"/>
          <w:sz w:val="32"/>
          <w:szCs w:val="32"/>
          <w:lang w:eastAsia="zh-CN"/>
        </w:rPr>
        <w:t>万元</w:t>
      </w:r>
      <w:r>
        <w:rPr>
          <w:rFonts w:hint="eastAsia" w:ascii="仿宋_GB2312" w:hAnsi="仿宋_GB2312" w:eastAsia="仿宋_GB2312" w:cs="仿宋_GB2312"/>
          <w:color w:val="auto"/>
          <w:sz w:val="32"/>
          <w:szCs w:val="32"/>
        </w:rPr>
        <w:t>，占支出总额</w:t>
      </w:r>
      <w:r>
        <w:rPr>
          <w:rFonts w:hint="eastAsia" w:ascii="仿宋_GB2312" w:hAnsi="仿宋_GB2312" w:eastAsia="仿宋_GB2312" w:cs="仿宋_GB2312"/>
          <w:color w:val="auto"/>
          <w:sz w:val="32"/>
          <w:szCs w:val="32"/>
          <w:lang w:val="en-US" w:eastAsia="zh-CN"/>
        </w:rPr>
        <w:t>29.94</w:t>
      </w:r>
      <w:r>
        <w:rPr>
          <w:rFonts w:hint="eastAsia" w:ascii="仿宋_GB2312" w:hAnsi="仿宋_GB2312" w:eastAsia="仿宋_GB2312" w:cs="仿宋_GB2312"/>
          <w:color w:val="auto"/>
          <w:sz w:val="32"/>
          <w:szCs w:val="32"/>
        </w:rPr>
        <w:t>%；民生类保障支出821.591203万元，占总支出总额</w:t>
      </w:r>
      <w:r>
        <w:rPr>
          <w:rFonts w:hint="eastAsia" w:ascii="仿宋_GB2312" w:hAnsi="仿宋_GB2312" w:eastAsia="仿宋_GB2312" w:cs="仿宋_GB2312"/>
          <w:color w:val="auto"/>
          <w:sz w:val="32"/>
          <w:szCs w:val="32"/>
          <w:lang w:val="en-US" w:eastAsia="zh-CN"/>
        </w:rPr>
        <w:t>16.90</w:t>
      </w:r>
      <w:r>
        <w:rPr>
          <w:rFonts w:hint="eastAsia" w:ascii="仿宋_GB2312" w:hAnsi="仿宋_GB2312" w:eastAsia="仿宋_GB2312" w:cs="仿宋_GB2312"/>
          <w:color w:val="auto"/>
          <w:sz w:val="32"/>
          <w:szCs w:val="32"/>
        </w:rPr>
        <w:t>%；文体旅和教育事业支出687.115万元，占总支出总额</w:t>
      </w:r>
      <w:r>
        <w:rPr>
          <w:rFonts w:hint="eastAsia" w:ascii="仿宋_GB2312" w:hAnsi="仿宋_GB2312" w:eastAsia="仿宋_GB2312" w:cs="仿宋_GB2312"/>
          <w:color w:val="auto"/>
          <w:sz w:val="32"/>
          <w:szCs w:val="32"/>
          <w:lang w:val="en-US" w:eastAsia="zh-CN"/>
        </w:rPr>
        <w:t>14.14</w:t>
      </w:r>
      <w:r>
        <w:rPr>
          <w:rFonts w:hint="eastAsia" w:ascii="仿宋_GB2312" w:hAnsi="仿宋_GB2312" w:eastAsia="仿宋_GB2312" w:cs="仿宋_GB2312"/>
          <w:color w:val="auto"/>
          <w:sz w:val="32"/>
          <w:szCs w:val="32"/>
        </w:rPr>
        <w:t>%；政法、司法、民宗和信访工作支出170.24202万元，占总支出总额</w:t>
      </w:r>
      <w:r>
        <w:rPr>
          <w:rFonts w:hint="eastAsia" w:ascii="仿宋_GB2312" w:hAnsi="仿宋_GB2312" w:eastAsia="仿宋_GB2312" w:cs="仿宋_GB2312"/>
          <w:color w:val="auto"/>
          <w:sz w:val="32"/>
          <w:szCs w:val="32"/>
          <w:lang w:val="en-US" w:eastAsia="zh-CN"/>
        </w:rPr>
        <w:t>3.50</w:t>
      </w:r>
      <w:r>
        <w:rPr>
          <w:rFonts w:hint="eastAsia" w:ascii="仿宋_GB2312" w:hAnsi="仿宋_GB2312" w:eastAsia="仿宋_GB2312" w:cs="仿宋_GB2312"/>
          <w:color w:val="auto"/>
          <w:sz w:val="32"/>
          <w:szCs w:val="32"/>
        </w:rPr>
        <w:t>%。</w:t>
      </w:r>
    </w:p>
    <w:p w14:paraId="2F4A2F6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二、自评工作开展情况</w:t>
      </w:r>
    </w:p>
    <w:p w14:paraId="75A4F82B">
      <w:pPr>
        <w:keepNext w:val="0"/>
        <w:keepLines w:val="0"/>
        <w:pageBreakBefore w:val="0"/>
        <w:widowControl w:val="0"/>
        <w:kinsoku/>
        <w:wordWrap/>
        <w:overflowPunct/>
        <w:topLinePunct w:val="0"/>
        <w:autoSpaceDE/>
        <w:autoSpaceDN/>
        <w:bidi w:val="0"/>
        <w:spacing w:line="560" w:lineRule="exact"/>
        <w:textAlignment w:val="auto"/>
        <w:rPr>
          <w:rFonts w:hint="eastAsia" w:ascii="楷体_GB2312" w:hAnsi="楷体_GB2312" w:eastAsia="楷体_GB2312" w:cs="楷体_GB2312"/>
          <w:sz w:val="32"/>
          <w:szCs w:val="32"/>
        </w:rPr>
      </w:pPr>
      <w:r>
        <w:rPr>
          <w:rFonts w:hint="eastAsia" w:ascii="楷体_GB2312" w:hAnsi="楷体_GB2312" w:eastAsia="楷体_GB2312" w:cs="楷体_GB2312"/>
          <w:b/>
          <w:bCs/>
          <w:sz w:val="32"/>
          <w:szCs w:val="32"/>
        </w:rPr>
        <w:t xml:space="preserve">    </w:t>
      </w:r>
      <w:r>
        <w:rPr>
          <w:rFonts w:hint="eastAsia" w:ascii="楷体_GB2312" w:hAnsi="楷体_GB2312" w:eastAsia="楷体_GB2312" w:cs="楷体_GB2312"/>
          <w:bCs/>
          <w:sz w:val="32"/>
          <w:szCs w:val="32"/>
        </w:rPr>
        <w:t>（一）自评的组织工作</w:t>
      </w:r>
    </w:p>
    <w:p w14:paraId="5FB523CF">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为扎实推进预算绩效管理工作，切实提高资金使用绩效，进一步提高财政资金使用效益，根据《关于印发关于全面落实预算绩效管理的实施意见的通知》（石开工委〔2023〕25号）文件要求，社会发展局成立预算整体支出绩效评价小组。</w:t>
      </w:r>
    </w:p>
    <w:p w14:paraId="08FC792F">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组  长：李登肖</w:t>
      </w:r>
    </w:p>
    <w:p w14:paraId="179E60C0">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副组长：刘强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郝晓伟、王双友、支胜利</w:t>
      </w:r>
    </w:p>
    <w:p w14:paraId="7B52E9E0">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组  员：朱克轩</w:t>
      </w:r>
      <w:r>
        <w:rPr>
          <w:rFonts w:hint="eastAsia" w:ascii="仿宋_GB2312" w:hAnsi="仿宋_GB2312" w:eastAsia="仿宋_GB2312" w:cs="仿宋_GB2312"/>
          <w:sz w:val="32"/>
          <w:szCs w:val="32"/>
          <w:lang w:eastAsia="zh-CN"/>
        </w:rPr>
        <w:t>、李京鸿、刘霁峰、张腾飞、何占飞、</w:t>
      </w:r>
      <w:r>
        <w:rPr>
          <w:rFonts w:hint="eastAsia" w:ascii="仿宋_GB2312" w:hAnsi="仿宋_GB2312" w:eastAsia="仿宋_GB2312" w:cs="仿宋_GB2312"/>
          <w:sz w:val="32"/>
          <w:szCs w:val="32"/>
        </w:rPr>
        <w:t>夏晓丹、</w:t>
      </w:r>
      <w:r>
        <w:rPr>
          <w:rFonts w:hint="eastAsia" w:ascii="仿宋_GB2312" w:hAnsi="仿宋_GB2312" w:eastAsia="仿宋_GB2312" w:cs="仿宋_GB2312"/>
          <w:sz w:val="32"/>
          <w:szCs w:val="32"/>
          <w:lang w:eastAsia="zh-CN"/>
        </w:rPr>
        <w:t>刘扬、李杰</w:t>
      </w:r>
    </w:p>
    <w:p w14:paraId="6C1B306D">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价小组职责：一是负责贯彻落实上级部门和财政局整体支出绩效评价工作的部署和要求，加强整体支出绩效评价工作领导，落实工作任务；二是负责整体支出绩效评价工作的开展；三是根据项目实施情况和评价指标体系的要求，填报评分表和数据统计表；四是评价小组根据现场调查，补充和核实相关信息；五是撰写并提交评价报告。</w:t>
      </w:r>
    </w:p>
    <w:p w14:paraId="75D29E9D">
      <w:pPr>
        <w:keepNext w:val="0"/>
        <w:keepLines w:val="0"/>
        <w:pageBreakBefore w:val="0"/>
        <w:widowControl w:val="0"/>
        <w:numPr>
          <w:ilvl w:val="0"/>
          <w:numId w:val="0"/>
        </w:numPr>
        <w:kinsoku/>
        <w:wordWrap/>
        <w:overflowPunct/>
        <w:topLinePunct w:val="0"/>
        <w:autoSpaceDE/>
        <w:autoSpaceDN/>
        <w:bidi w:val="0"/>
        <w:spacing w:line="560" w:lineRule="exact"/>
        <w:ind w:leftChars="0" w:firstLine="640" w:firstLineChars="200"/>
        <w:textAlignment w:val="auto"/>
        <w:rPr>
          <w:rFonts w:hint="eastAsia" w:ascii="楷体_GB2312" w:hAnsi="楷体_GB2312" w:eastAsia="楷体_GB2312" w:cs="楷体_GB2312"/>
          <w:bCs/>
          <w:sz w:val="32"/>
          <w:szCs w:val="32"/>
        </w:rPr>
      </w:pPr>
      <w:r>
        <w:rPr>
          <w:rFonts w:hint="eastAsia" w:ascii="楷体_GB2312" w:hAnsi="楷体_GB2312" w:eastAsia="楷体_GB2312" w:cs="楷体_GB2312"/>
          <w:bCs/>
          <w:sz w:val="32"/>
          <w:szCs w:val="32"/>
          <w:lang w:eastAsia="zh-CN"/>
        </w:rPr>
        <w:t>（二）</w:t>
      </w:r>
      <w:r>
        <w:rPr>
          <w:rFonts w:hint="eastAsia" w:ascii="楷体_GB2312" w:hAnsi="楷体_GB2312" w:eastAsia="楷体_GB2312" w:cs="楷体_GB2312"/>
          <w:bCs/>
          <w:sz w:val="32"/>
          <w:szCs w:val="32"/>
        </w:rPr>
        <w:t>自评的方法和过程</w:t>
      </w:r>
    </w:p>
    <w:p w14:paraId="474A242A">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及时布置、组织及指导各部门进行自评工作。按照绩效自评领导小组的具体部署，召开了绩效考评自评工作会议，对财政局的具体要求和具体工作方法进行了认真传达学习。对指标分配、指标确认、指标报送等各环节做到集体研究，严格把关，并保证各项任务指标落实。</w:t>
      </w:r>
    </w:p>
    <w:p w14:paraId="380ACBE9">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为确保绩效管理工作的落实，各部门绩效管理工作完成情况进行检查，对照考核表的指标内容，逐一对照、逐条考评，准确掌握了各部门绩效工作的完成情况。结合本单位的工作实际、数据采集的具体标准和工作要求，对评价项目绩效情况进行打分，对完成任务的质量进行评述。</w:t>
      </w:r>
    </w:p>
    <w:p w14:paraId="031BE99B">
      <w:pPr>
        <w:keepNext w:val="0"/>
        <w:keepLines w:val="0"/>
        <w:pageBreakBefore w:val="0"/>
        <w:widowControl w:val="0"/>
        <w:kinsoku/>
        <w:wordWrap/>
        <w:overflowPunct/>
        <w:topLinePunct w:val="0"/>
        <w:autoSpaceDE/>
        <w:autoSpaceDN/>
        <w:bidi w:val="0"/>
        <w:spacing w:line="560" w:lineRule="exact"/>
        <w:textAlignment w:val="auto"/>
        <w:rPr>
          <w:rFonts w:ascii="黑体" w:hAnsi="黑体" w:eastAsia="黑体"/>
          <w:b/>
          <w:bCs/>
          <w:sz w:val="32"/>
          <w:szCs w:val="32"/>
        </w:rPr>
      </w:pPr>
      <w:r>
        <w:rPr>
          <w:rFonts w:hint="eastAsia" w:ascii="黑体" w:hAnsi="黑体" w:eastAsia="黑体"/>
          <w:sz w:val="32"/>
          <w:szCs w:val="32"/>
        </w:rPr>
        <w:t xml:space="preserve">    三、部门整体支出绩效目标实现情况及指标分析</w:t>
      </w:r>
    </w:p>
    <w:p w14:paraId="67D76839">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hint="eastAsia" w:ascii="楷体_GB2312" w:hAnsi="楷体_GB2312" w:eastAsia="楷体_GB2312" w:cs="楷体_GB2312"/>
          <w:bCs/>
          <w:sz w:val="32"/>
          <w:szCs w:val="32"/>
        </w:rPr>
      </w:pPr>
      <w:r>
        <w:rPr>
          <w:rFonts w:hint="eastAsia" w:ascii="楷体_GB2312" w:hAnsi="楷体_GB2312" w:eastAsia="楷体_GB2312" w:cs="楷体_GB2312"/>
          <w:bCs/>
          <w:sz w:val="32"/>
          <w:szCs w:val="32"/>
          <w:lang w:eastAsia="zh-CN"/>
        </w:rPr>
        <w:t>（一）</w:t>
      </w:r>
      <w:r>
        <w:rPr>
          <w:rFonts w:hint="eastAsia" w:ascii="楷体_GB2312" w:hAnsi="楷体_GB2312" w:eastAsia="楷体_GB2312" w:cs="楷体_GB2312"/>
          <w:bCs/>
          <w:sz w:val="32"/>
          <w:szCs w:val="32"/>
        </w:rPr>
        <w:t>总体绩效目标实现情况</w:t>
      </w:r>
    </w:p>
    <w:p w14:paraId="377CFC60">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sz w:val="32"/>
          <w:szCs w:val="32"/>
          <w:lang w:eastAsia="zh-CN"/>
        </w:rPr>
        <w:t>我部门202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年度各项预算项目绩效目标基本完成。各项预算项目能够按照我区社会事业发展的需要，按照年初制定的工作计划顺利开展，随着各项工作进程推进，相关资金及时准确拨付到位，促进了我区社会事业稳定健康发展</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 xml:space="preserve">    </w:t>
      </w:r>
    </w:p>
    <w:p w14:paraId="6B4C98D7">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楷体_GB2312" w:hAnsi="楷体_GB2312" w:eastAsia="楷体_GB2312" w:cs="楷体_GB2312"/>
          <w:bCs/>
          <w:sz w:val="32"/>
          <w:szCs w:val="32"/>
        </w:rPr>
      </w:pPr>
      <w:r>
        <w:rPr>
          <w:rFonts w:hint="eastAsia" w:ascii="楷体_GB2312" w:hAnsi="楷体_GB2312" w:eastAsia="楷体_GB2312" w:cs="楷体_GB2312"/>
          <w:bCs/>
          <w:sz w:val="32"/>
          <w:szCs w:val="32"/>
        </w:rPr>
        <w:t>（二）分项绩效目标实现情况及指标分析</w:t>
      </w:r>
    </w:p>
    <w:p w14:paraId="123054EC">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1.农业农村工作</w:t>
      </w:r>
    </w:p>
    <w:p w14:paraId="383D07D5">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2025年农业农村领域整体预算236.600816万元，涉及项目2</w:t>
      </w:r>
      <w:r>
        <w:rPr>
          <w:rFonts w:hint="eastAsia" w:ascii="仿宋_GB2312" w:hAnsi="仿宋_GB2312" w:eastAsia="仿宋_GB2312" w:cs="仿宋_GB2312"/>
          <w:sz w:val="32"/>
          <w:szCs w:val="32"/>
          <w:lang w:val="en-US" w:eastAsia="zh-CN"/>
        </w:rPr>
        <w:t>4</w:t>
      </w:r>
      <w:r>
        <w:rPr>
          <w:rFonts w:hint="default" w:ascii="仿宋_GB2312" w:hAnsi="仿宋_GB2312" w:eastAsia="仿宋_GB2312" w:cs="仿宋_GB2312"/>
          <w:sz w:val="32"/>
          <w:szCs w:val="32"/>
          <w:lang w:val="en-US" w:eastAsia="zh-CN"/>
        </w:rPr>
        <w:t>个，全年预算执行数213.583159万元</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预算执行率为90.27%</w:t>
      </w:r>
      <w:r>
        <w:rPr>
          <w:rFonts w:hint="eastAsia" w:ascii="仿宋_GB2312" w:hAnsi="仿宋_GB2312" w:eastAsia="仿宋_GB2312" w:cs="仿宋_GB2312"/>
          <w:sz w:val="32"/>
          <w:szCs w:val="32"/>
          <w:lang w:val="en-US" w:eastAsia="zh-CN"/>
        </w:rPr>
        <w:t>。</w:t>
      </w:r>
    </w:p>
    <w:p w14:paraId="2D6B1CCD">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项目绩效目标完成情况: 全区种植冬小麦约1.7万亩，组织开展了冬小麦“一喷三防”工作，发放相关药剂约1.8万套，受益农户约5400户；扎实做好动物检疫及春季重大动物疫病防控工作，全年共计免疫口蹄疫猪0.77万头、牛0.2万头、羊2.63万只；布病累计免疫牛0.18万头、羊3.33万只、禽流感44.82万羽；组织辖区内河北众旭食品科技有限公司实施农产品加工园区建设项目，主要建设完成2号冷库仓储项目制冷设备采购及调试安装，提升园区内食品生产企业的生产能力，带动园区内食品生产企业生产岗位的需要；开展雨露计划帮扶，每学期向符合条件学生发放一次补助，目前每年共为1名学生发放补助3000元，年底向脱贫户、原监测户共12户发放了慰问品。</w:t>
      </w:r>
    </w:p>
    <w:p w14:paraId="6A8CCE38">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2.卫生健康工作</w:t>
      </w:r>
    </w:p>
    <w:p w14:paraId="245C8405">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2025年</w:t>
      </w:r>
      <w:r>
        <w:rPr>
          <w:rFonts w:hint="eastAsia" w:ascii="仿宋_GB2312" w:hAnsi="仿宋_GB2312" w:eastAsia="仿宋_GB2312" w:cs="仿宋_GB2312"/>
          <w:sz w:val="32"/>
          <w:szCs w:val="32"/>
          <w:lang w:eastAsia="zh-CN"/>
        </w:rPr>
        <w:t>卫生健康</w:t>
      </w:r>
      <w:r>
        <w:rPr>
          <w:rFonts w:hint="eastAsia" w:ascii="仿宋_GB2312" w:hAnsi="仿宋_GB2312" w:eastAsia="仿宋_GB2312" w:cs="仿宋_GB2312"/>
          <w:sz w:val="32"/>
          <w:szCs w:val="32"/>
        </w:rPr>
        <w:t>领域整体预算1501.7749万元，涉及项目</w:t>
      </w:r>
      <w:r>
        <w:rPr>
          <w:rFonts w:hint="eastAsia" w:ascii="仿宋_GB2312" w:hAnsi="仿宋_GB2312" w:eastAsia="仿宋_GB2312" w:cs="仿宋_GB2312"/>
          <w:sz w:val="32"/>
          <w:szCs w:val="32"/>
          <w:lang w:val="en-US" w:eastAsia="zh-CN"/>
        </w:rPr>
        <w:t>38</w:t>
      </w:r>
      <w:r>
        <w:rPr>
          <w:rFonts w:hint="eastAsia" w:ascii="仿宋_GB2312" w:hAnsi="仿宋_GB2312" w:eastAsia="仿宋_GB2312" w:cs="仿宋_GB2312"/>
          <w:sz w:val="32"/>
          <w:szCs w:val="32"/>
        </w:rPr>
        <w:t>个，全年预算执行数1490.1963万元。预算执行率为</w:t>
      </w:r>
      <w:r>
        <w:rPr>
          <w:rFonts w:hint="eastAsia" w:ascii="仿宋_GB2312" w:hAnsi="仿宋_GB2312" w:eastAsia="仿宋_GB2312" w:cs="仿宋_GB2312"/>
          <w:sz w:val="32"/>
          <w:szCs w:val="32"/>
          <w:lang w:val="en-US" w:eastAsia="zh-CN"/>
        </w:rPr>
        <w:t>99.23</w:t>
      </w:r>
      <w:r>
        <w:rPr>
          <w:rFonts w:hint="eastAsia" w:ascii="仿宋_GB2312" w:hAnsi="仿宋_GB2312" w:eastAsia="仿宋_GB2312" w:cs="仿宋_GB2312"/>
          <w:sz w:val="32"/>
          <w:szCs w:val="32"/>
        </w:rPr>
        <w:t>%，</w:t>
      </w:r>
    </w:p>
    <w:p w14:paraId="57353A63">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项目绩效目标完成情况:</w:t>
      </w:r>
    </w:p>
    <w:p w14:paraId="1C98422B">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lang w:eastAsia="zh-CN"/>
        </w:rPr>
        <w:t>）育儿补贴工作。</w:t>
      </w:r>
      <w:r>
        <w:rPr>
          <w:rFonts w:hint="eastAsia" w:ascii="仿宋_GB2312" w:hAnsi="仿宋_GB2312" w:eastAsia="仿宋_GB2312" w:cs="仿宋_GB2312"/>
          <w:sz w:val="32"/>
          <w:szCs w:val="32"/>
          <w:lang w:val="en-US" w:eastAsia="zh-CN"/>
        </w:rPr>
        <w:t>2025年共计审核通过1831人，预算安排资金581.88万元，已全部执行完毕。</w:t>
      </w:r>
    </w:p>
    <w:p w14:paraId="6AD3D729">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sz w:val="32"/>
          <w:szCs w:val="32"/>
          <w:lang w:val="en-US" w:eastAsia="zh-CN"/>
        </w:rPr>
        <w:t>（2）基本公共卫生服务项目。</w:t>
      </w:r>
      <w:r>
        <w:rPr>
          <w:rFonts w:hint="eastAsia" w:ascii="仿宋_GB2312" w:hAnsi="仿宋_GB2312" w:eastAsia="仿宋_GB2312" w:cs="仿宋_GB2312"/>
          <w:sz w:val="32"/>
          <w:szCs w:val="32"/>
          <w:lang w:val="en-US" w:eastAsia="zh-CN"/>
        </w:rPr>
        <w:t>按照国家、省、市关于基本公共卫生服务项目工作部署，结合辖区居民健康需求与基层卫生工作实际，积极推进居民健康档案管理、预防接种、老年人健康管理、慢性病患者健康管理、严重精神障碍患者管理、传染病及突发公共卫生事件报告处理、妇幼健康管理、中医药健康管理等各项既定工作。总预算资金572.06万元，预算执行数572.06万元，预算执行率100%。</w:t>
      </w:r>
    </w:p>
    <w:p w14:paraId="626A5561">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sz w:val="32"/>
          <w:szCs w:val="32"/>
          <w:lang w:val="en-US" w:eastAsia="zh-CN"/>
        </w:rPr>
        <w:t>（3）计划生育家庭奖特扶工作。</w:t>
      </w:r>
      <w:r>
        <w:rPr>
          <w:rFonts w:hint="eastAsia" w:ascii="仿宋_GB2312" w:hAnsi="仿宋_GB2312" w:eastAsia="仿宋_GB2312" w:cs="仿宋_GB2312"/>
          <w:sz w:val="32"/>
          <w:szCs w:val="32"/>
          <w:lang w:val="en-US" w:eastAsia="zh-CN"/>
        </w:rPr>
        <w:t>2025年共计办理计划生育家庭奖、特扶1947人，办理享受中、高考加分政策学生46人；预算资金216.6292万元，预算执行数216.0666万元，预算执行率99.74%。</w:t>
      </w:r>
    </w:p>
    <w:p w14:paraId="36E3AC9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sz w:val="32"/>
          <w:szCs w:val="32"/>
          <w:lang w:val="en-US" w:eastAsia="zh-CN"/>
        </w:rPr>
        <w:t>（4）HPV疫苗接种。</w:t>
      </w:r>
      <w:r>
        <w:rPr>
          <w:rFonts w:hint="eastAsia" w:ascii="仿宋_GB2312" w:hAnsi="仿宋_GB2312" w:eastAsia="仿宋_GB2312" w:cs="仿宋_GB2312"/>
          <w:sz w:val="32"/>
          <w:szCs w:val="32"/>
          <w:lang w:val="en-US" w:eastAsia="zh-CN"/>
        </w:rPr>
        <w:t>2025年共计为202名14周岁女孩接种国产二价HPV疫苗，有效保障了适龄人员的身心健康；预算资金5.242万元，预算执行数4.3436万元，预算执行率82.61%。</w:t>
      </w:r>
    </w:p>
    <w:p w14:paraId="7779E8B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sz w:val="32"/>
          <w:szCs w:val="32"/>
          <w:lang w:val="en-US" w:eastAsia="zh-CN"/>
        </w:rPr>
        <w:t>（5）原“赤脚医生”养老补助发放工作。</w:t>
      </w:r>
      <w:r>
        <w:rPr>
          <w:rFonts w:hint="eastAsia" w:ascii="仿宋_GB2312" w:hAnsi="仿宋_GB2312" w:eastAsia="仿宋_GB2312" w:cs="仿宋_GB2312"/>
          <w:sz w:val="32"/>
          <w:szCs w:val="32"/>
          <w:lang w:val="en-US" w:eastAsia="zh-CN"/>
        </w:rPr>
        <w:t>2025年共计为115名原“赤脚医生”发放养老补贴，进一步保障了基层医疗退休人员养老生活水平。预算资金33.066万元，预算执行数33.066万元，预算执行率100%。</w:t>
      </w:r>
    </w:p>
    <w:p w14:paraId="6383717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sz w:val="32"/>
          <w:szCs w:val="32"/>
          <w:lang w:val="en-US" w:eastAsia="zh-CN"/>
        </w:rPr>
        <w:t>（6）基本药物制度补助。</w:t>
      </w:r>
      <w:r>
        <w:rPr>
          <w:rFonts w:hint="eastAsia" w:ascii="仿宋_GB2312" w:hAnsi="仿宋_GB2312" w:eastAsia="仿宋_GB2312" w:cs="仿宋_GB2312"/>
          <w:sz w:val="32"/>
          <w:szCs w:val="32"/>
          <w:lang w:val="en-US" w:eastAsia="zh-CN"/>
        </w:rPr>
        <w:t>2025年经开区全面落实内基本药物制度，1个乡镇卫生院、19个村卫生室实现全覆盖，切实保障群众用药。预算资金24.28万元，预算执行数24.28万元，预算执行率100%。</w:t>
      </w:r>
    </w:p>
    <w:p w14:paraId="66A08F5D">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3.残联工作</w:t>
      </w:r>
    </w:p>
    <w:p w14:paraId="61FD9F4C">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2025年</w:t>
      </w:r>
      <w:r>
        <w:rPr>
          <w:rFonts w:hint="eastAsia" w:ascii="仿宋_GB2312" w:hAnsi="仿宋_GB2312" w:eastAsia="仿宋_GB2312" w:cs="仿宋_GB2312"/>
          <w:sz w:val="32"/>
          <w:szCs w:val="32"/>
          <w:lang w:eastAsia="zh-CN"/>
        </w:rPr>
        <w:t>残联</w:t>
      </w:r>
      <w:r>
        <w:rPr>
          <w:rFonts w:hint="eastAsia" w:ascii="仿宋_GB2312" w:hAnsi="仿宋_GB2312" w:eastAsia="仿宋_GB2312" w:cs="仿宋_GB2312"/>
          <w:sz w:val="32"/>
          <w:szCs w:val="32"/>
        </w:rPr>
        <w:t>领域整体预算41.792722万元，涉及项目</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个，全年预算执行数41.792722万元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预算执行率为</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p>
    <w:p w14:paraId="12A7190C">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项目绩效目标完成情况</w:t>
      </w:r>
      <w:r>
        <w:rPr>
          <w:rFonts w:hint="eastAsia" w:ascii="仿宋_GB2312" w:hAnsi="仿宋_GB2312" w:eastAsia="仿宋_GB2312" w:cs="仿宋_GB2312"/>
          <w:sz w:val="32"/>
          <w:szCs w:val="32"/>
          <w:lang w:eastAsia="zh-CN"/>
        </w:rPr>
        <w:t>：完成残疾人康复工作，实施重残医保补贴项目；完成残疾人慰问工作；完成残疾人专职委员补贴发放工作。</w:t>
      </w:r>
    </w:p>
    <w:p w14:paraId="6F36922D">
      <w:pPr>
        <w:keepNext w:val="0"/>
        <w:keepLines w:val="0"/>
        <w:pageBreakBefore w:val="0"/>
        <w:widowControl w:val="0"/>
        <w:kinsoku/>
        <w:wordWrap/>
        <w:overflowPunct/>
        <w:topLinePunct w:val="0"/>
        <w:autoSpaceDE/>
        <w:autoSpaceDN/>
        <w:bidi w:val="0"/>
        <w:spacing w:line="560" w:lineRule="exact"/>
        <w:ind w:firstLine="800" w:firstLineChars="25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4.退役军人工作</w:t>
      </w:r>
    </w:p>
    <w:p w14:paraId="311C73C6">
      <w:pPr>
        <w:keepNext w:val="0"/>
        <w:keepLines w:val="0"/>
        <w:pageBreakBefore w:val="0"/>
        <w:widowControl w:val="0"/>
        <w:kinsoku/>
        <w:wordWrap/>
        <w:overflowPunct/>
        <w:topLinePunct w:val="0"/>
        <w:autoSpaceDE/>
        <w:autoSpaceDN/>
        <w:bidi w:val="0"/>
        <w:spacing w:line="560" w:lineRule="exact"/>
        <w:ind w:firstLine="800" w:firstLineChars="25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2025年</w:t>
      </w:r>
      <w:r>
        <w:rPr>
          <w:rFonts w:hint="eastAsia" w:ascii="仿宋_GB2312" w:hAnsi="仿宋_GB2312" w:eastAsia="仿宋_GB2312" w:cs="仿宋_GB2312"/>
          <w:sz w:val="32"/>
          <w:szCs w:val="32"/>
          <w:lang w:eastAsia="zh-CN"/>
        </w:rPr>
        <w:t>残联</w:t>
      </w:r>
      <w:r>
        <w:rPr>
          <w:rFonts w:hint="eastAsia" w:ascii="仿宋_GB2312" w:hAnsi="仿宋_GB2312" w:eastAsia="仿宋_GB2312" w:cs="仿宋_GB2312"/>
          <w:sz w:val="32"/>
          <w:szCs w:val="32"/>
        </w:rPr>
        <w:t>领域整体预算1459.645708万元，涉及项目</w:t>
      </w:r>
      <w:r>
        <w:rPr>
          <w:rFonts w:hint="eastAsia" w:ascii="仿宋_GB2312" w:hAnsi="仿宋_GB2312" w:eastAsia="仿宋_GB2312" w:cs="仿宋_GB2312"/>
          <w:sz w:val="32"/>
          <w:szCs w:val="32"/>
          <w:lang w:val="en-US" w:eastAsia="zh-CN"/>
        </w:rPr>
        <w:t>49</w:t>
      </w:r>
      <w:r>
        <w:rPr>
          <w:rFonts w:hint="eastAsia" w:ascii="仿宋_GB2312" w:hAnsi="仿宋_GB2312" w:eastAsia="仿宋_GB2312" w:cs="仿宋_GB2312"/>
          <w:sz w:val="32"/>
          <w:szCs w:val="32"/>
        </w:rPr>
        <w:t>个，全年预算执行数1455.32141万元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预算执行率为</w:t>
      </w:r>
      <w:r>
        <w:rPr>
          <w:rFonts w:hint="eastAsia" w:ascii="仿宋_GB2312" w:hAnsi="仿宋_GB2312" w:eastAsia="仿宋_GB2312" w:cs="仿宋_GB2312"/>
          <w:sz w:val="32"/>
          <w:szCs w:val="32"/>
          <w:lang w:val="en-US" w:eastAsia="zh-CN"/>
        </w:rPr>
        <w:t>99.70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p>
    <w:p w14:paraId="6EB158E3">
      <w:pPr>
        <w:keepNext w:val="0"/>
        <w:keepLines w:val="0"/>
        <w:pageBreakBefore w:val="0"/>
        <w:widowControl w:val="0"/>
        <w:kinsoku/>
        <w:wordWrap/>
        <w:overflowPunct/>
        <w:topLinePunct w:val="0"/>
        <w:autoSpaceDE/>
        <w:autoSpaceDN/>
        <w:bidi w:val="0"/>
        <w:spacing w:line="560" w:lineRule="exact"/>
        <w:ind w:firstLine="800" w:firstLineChars="25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项目绩效目标完成情况</w:t>
      </w:r>
      <w:r>
        <w:rPr>
          <w:rFonts w:hint="eastAsia" w:ascii="仿宋_GB2312" w:hAnsi="仿宋_GB2312" w:eastAsia="仿宋_GB2312" w:cs="仿宋_GB2312"/>
          <w:sz w:val="32"/>
          <w:szCs w:val="32"/>
          <w:lang w:eastAsia="zh-CN"/>
        </w:rPr>
        <w:t>：完成义务兵优待金发放工作；完成退役安置补助发放工作；完成优抚对象医疗补助和医疗救助工作；</w:t>
      </w:r>
      <w:r>
        <w:rPr>
          <w:rFonts w:hint="default" w:ascii="仿宋_GB2312" w:hAnsi="仿宋_GB2312" w:eastAsia="仿宋_GB2312" w:cs="仿宋_GB2312"/>
          <w:sz w:val="32"/>
          <w:szCs w:val="32"/>
          <w:lang w:val="en-US" w:eastAsia="zh-CN"/>
        </w:rPr>
        <w:t>现役军人立功受奖奖励</w:t>
      </w:r>
      <w:r>
        <w:rPr>
          <w:rFonts w:hint="eastAsia" w:ascii="仿宋_GB2312" w:hAnsi="仿宋_GB2312" w:eastAsia="仿宋_GB2312" w:cs="仿宋_GB2312"/>
          <w:sz w:val="32"/>
          <w:szCs w:val="32"/>
          <w:lang w:val="en-US" w:eastAsia="zh-CN"/>
        </w:rPr>
        <w:t>工作；开展双拥工作。</w:t>
      </w:r>
    </w:p>
    <w:p w14:paraId="682E872E">
      <w:pPr>
        <w:keepNext w:val="0"/>
        <w:keepLines w:val="0"/>
        <w:pageBreakBefore w:val="0"/>
        <w:widowControl w:val="0"/>
        <w:kinsoku/>
        <w:wordWrap/>
        <w:overflowPunct/>
        <w:topLinePunct w:val="0"/>
        <w:autoSpaceDE/>
        <w:autoSpaceDN/>
        <w:bidi w:val="0"/>
        <w:spacing w:line="560" w:lineRule="exact"/>
        <w:ind w:firstLine="800" w:firstLineChars="25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5.武装工作</w:t>
      </w:r>
    </w:p>
    <w:p w14:paraId="0671BDE0">
      <w:pPr>
        <w:keepNext w:val="0"/>
        <w:keepLines w:val="0"/>
        <w:pageBreakBefore w:val="0"/>
        <w:widowControl w:val="0"/>
        <w:kinsoku/>
        <w:wordWrap/>
        <w:overflowPunct/>
        <w:topLinePunct w:val="0"/>
        <w:autoSpaceDE/>
        <w:autoSpaceDN/>
        <w:bidi w:val="0"/>
        <w:spacing w:line="560" w:lineRule="exact"/>
        <w:ind w:firstLine="800" w:firstLineChars="25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2025年武装领域整体预算10万元，涉及项目1个，全年预算执行数10万元，预算执行率为100%。</w:t>
      </w:r>
    </w:p>
    <w:p w14:paraId="37A694D1">
      <w:pPr>
        <w:keepNext w:val="0"/>
        <w:keepLines w:val="0"/>
        <w:pageBreakBefore w:val="0"/>
        <w:widowControl w:val="0"/>
        <w:kinsoku/>
        <w:wordWrap/>
        <w:overflowPunct/>
        <w:topLinePunct w:val="0"/>
        <w:autoSpaceDE/>
        <w:autoSpaceDN/>
        <w:bidi w:val="0"/>
        <w:spacing w:line="560" w:lineRule="exact"/>
        <w:ind w:firstLine="800" w:firstLineChars="250"/>
        <w:textAlignment w:val="auto"/>
        <w:rPr>
          <w:rFonts w:hint="eastAsia" w:ascii="仿宋" w:hAnsi="仿宋" w:eastAsia="仿宋" w:cs="黑体"/>
          <w:kern w:val="2"/>
          <w:sz w:val="32"/>
          <w:szCs w:val="32"/>
          <w:lang w:val="en-US" w:eastAsia="zh-CN" w:bidi="ar-SA"/>
        </w:rPr>
      </w:pPr>
      <w:r>
        <w:rPr>
          <w:rFonts w:hint="eastAsia" w:ascii="仿宋_GB2312" w:hAnsi="仿宋_GB2312" w:eastAsia="仿宋_GB2312" w:cs="仿宋_GB2312"/>
          <w:sz w:val="32"/>
          <w:szCs w:val="32"/>
          <w:lang w:val="en-US" w:eastAsia="zh-CN"/>
        </w:rPr>
        <w:t>项目绩效目标完成情况：用于民兵训练、民兵整组、征兵支出。实际支出10万元，预算执行率100%，项目已执行完毕。</w:t>
      </w:r>
    </w:p>
    <w:p w14:paraId="33CB49A4">
      <w:pPr>
        <w:keepNext w:val="0"/>
        <w:keepLines w:val="0"/>
        <w:pageBreakBefore w:val="0"/>
        <w:widowControl w:val="0"/>
        <w:kinsoku/>
        <w:wordWrap/>
        <w:overflowPunct/>
        <w:topLinePunct w:val="0"/>
        <w:autoSpaceDE/>
        <w:autoSpaceDN/>
        <w:bidi w:val="0"/>
        <w:spacing w:line="560" w:lineRule="exact"/>
        <w:ind w:firstLine="800" w:firstLineChars="25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6.民政工作</w:t>
      </w:r>
    </w:p>
    <w:p w14:paraId="5FA40941">
      <w:pPr>
        <w:keepNext w:val="0"/>
        <w:keepLines w:val="0"/>
        <w:pageBreakBefore w:val="0"/>
        <w:widowControl w:val="0"/>
        <w:kinsoku/>
        <w:wordWrap/>
        <w:overflowPunct/>
        <w:topLinePunct w:val="0"/>
        <w:autoSpaceDE/>
        <w:autoSpaceDN/>
        <w:bidi w:val="0"/>
        <w:spacing w:line="560" w:lineRule="exact"/>
        <w:ind w:firstLine="800" w:firstLineChars="25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2025年民政领域整体预算842.952481万元，涉及项目65个，全年预算执行数823.798481万元，预算执行率为97.73%。项目绩效目标完成情况：民政工作聚焦“保基本、兜底线、促公平、优服务”核心使命，紧扣年度绩效目标，扎实推进社会救助、养老服务、基层治理、社会事务等重点工作，2025年发放低保及特困救助金约324万元、、发放事实无人抚养儿童补贴9.067万元，残疾人两项补贴89万元、养老机构市级运营补贴69.2815万元。年底对66户困难群众家庭进行慰问，发放慰问品及慰问金，切实提高了有效提高了困难群众生活水平。</w:t>
      </w:r>
    </w:p>
    <w:p w14:paraId="3EAD3706">
      <w:pPr>
        <w:keepNext w:val="0"/>
        <w:keepLines w:val="0"/>
        <w:pageBreakBefore w:val="0"/>
        <w:widowControl w:val="0"/>
        <w:kinsoku/>
        <w:wordWrap/>
        <w:overflowPunct/>
        <w:topLinePunct w:val="0"/>
        <w:autoSpaceDE/>
        <w:autoSpaceDN/>
        <w:bidi w:val="0"/>
        <w:spacing w:line="560" w:lineRule="exact"/>
        <w:ind w:firstLine="800" w:firstLineChars="25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7.教育工作</w:t>
      </w:r>
    </w:p>
    <w:p w14:paraId="7870AEB6">
      <w:pPr>
        <w:keepNext w:val="0"/>
        <w:keepLines w:val="0"/>
        <w:pageBreakBefore w:val="0"/>
        <w:widowControl w:val="0"/>
        <w:kinsoku/>
        <w:wordWrap/>
        <w:overflowPunct/>
        <w:topLinePunct w:val="0"/>
        <w:autoSpaceDE/>
        <w:autoSpaceDN/>
        <w:bidi w:val="0"/>
        <w:spacing w:line="560" w:lineRule="exact"/>
        <w:ind w:firstLine="800" w:firstLineChars="25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2025年教育领域整体预算662.76万元，涉及项目4个，全年预算执行数662.76万元，预算执行率为100%。</w:t>
      </w:r>
    </w:p>
    <w:p w14:paraId="351ED0E4">
      <w:pPr>
        <w:keepNext w:val="0"/>
        <w:keepLines w:val="0"/>
        <w:pageBreakBefore w:val="0"/>
        <w:widowControl w:val="0"/>
        <w:kinsoku/>
        <w:wordWrap/>
        <w:overflowPunct/>
        <w:topLinePunct w:val="0"/>
        <w:autoSpaceDE/>
        <w:autoSpaceDN/>
        <w:bidi w:val="0"/>
        <w:spacing w:line="560" w:lineRule="exact"/>
        <w:ind w:firstLine="800" w:firstLineChars="25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绩效目标完成情况：加强临聘人员队伍建设，及时拨付工资，提高临聘教师满意度幸福感；为28所公立中小学幼儿园安装一键式报警器，有效接入公安系统，切实筑牢校园安全防线；取暖季及时拨付取暖费，保障我区公立学校取暖，维持了校园和谐稳定，提高学生、家长满意度；按月及时拨付中心校运行经费，保障了中心校本部日常运转，正常履职，畅通教育管理链条。</w:t>
      </w:r>
    </w:p>
    <w:p w14:paraId="77529926">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8.文体旅工作</w:t>
      </w:r>
    </w:p>
    <w:p w14:paraId="6B9D4211">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2025年文体旅领域整体预算24.355万元，涉及项目5个，全年预算执行数24.355万元，预算执行率为100%。</w:t>
      </w:r>
    </w:p>
    <w:p w14:paraId="60ED7E91">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项目绩效目标完成情况：</w:t>
      </w:r>
      <w:r>
        <w:rPr>
          <w:rFonts w:hint="default" w:ascii="仿宋_GB2312" w:hAnsi="仿宋_GB2312" w:eastAsia="仿宋_GB2312" w:cs="仿宋_GB2312"/>
          <w:sz w:val="32"/>
          <w:szCs w:val="32"/>
          <w:lang w:val="en-US" w:eastAsia="zh-CN"/>
        </w:rPr>
        <w:t>为辖区开发大街社区、恒大绿洲社区、世耀东城3个社区图书馆购置图书2400册，满足居民阅读、学习休闲需求，营造了文明和谐社区氛围</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普查6处不可移动文物遗址，摸清我区文物“家底”，全面掌握辖区文物资源</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在北席社区打造一处百姓健身房，采购各类健身器材20件，贯彻落实国家全民健身计划，大幅提高辖区群众幸福感与获得感。</w:t>
      </w:r>
    </w:p>
    <w:p w14:paraId="117D7C8B">
      <w:pPr>
        <w:keepNext w:val="0"/>
        <w:keepLines w:val="0"/>
        <w:pageBreakBefore w:val="0"/>
        <w:widowControl w:val="0"/>
        <w:kinsoku/>
        <w:wordWrap/>
        <w:overflowPunct/>
        <w:topLinePunct w:val="0"/>
        <w:autoSpaceDE/>
        <w:autoSpaceDN/>
        <w:bidi w:val="0"/>
        <w:spacing w:line="560" w:lineRule="exact"/>
        <w:ind w:firstLine="800" w:firstLineChars="25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9.政法、司法和信访工作</w:t>
      </w:r>
    </w:p>
    <w:p w14:paraId="01C3DDF8">
      <w:pPr>
        <w:keepNext w:val="0"/>
        <w:keepLines w:val="0"/>
        <w:pageBreakBefore w:val="0"/>
        <w:widowControl w:val="0"/>
        <w:kinsoku/>
        <w:wordWrap/>
        <w:overflowPunct/>
        <w:topLinePunct w:val="0"/>
        <w:autoSpaceDE/>
        <w:autoSpaceDN/>
        <w:bidi w:val="0"/>
        <w:spacing w:line="560" w:lineRule="exact"/>
        <w:ind w:firstLine="800" w:firstLineChars="25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2025年</w:t>
      </w:r>
      <w:r>
        <w:rPr>
          <w:rFonts w:hint="eastAsia" w:ascii="仿宋_GB2312" w:hAnsi="仿宋_GB2312" w:eastAsia="仿宋_GB2312" w:cs="仿宋_GB2312"/>
          <w:sz w:val="32"/>
          <w:szCs w:val="32"/>
          <w:lang w:val="en-US" w:eastAsia="zh-CN"/>
        </w:rPr>
        <w:t>政法、司法、信访领域</w:t>
      </w:r>
      <w:r>
        <w:rPr>
          <w:rFonts w:hint="default" w:ascii="仿宋_GB2312" w:hAnsi="仿宋_GB2312" w:eastAsia="仿宋_GB2312" w:cs="仿宋_GB2312"/>
          <w:sz w:val="32"/>
          <w:szCs w:val="32"/>
          <w:lang w:val="en-US" w:eastAsia="zh-CN"/>
        </w:rPr>
        <w:t>整体预算172.2461万元，涉及项目</w:t>
      </w:r>
      <w:r>
        <w:rPr>
          <w:rFonts w:hint="eastAsia" w:ascii="仿宋_GB2312" w:hAnsi="仿宋_GB2312" w:eastAsia="仿宋_GB2312" w:cs="仿宋_GB2312"/>
          <w:sz w:val="32"/>
          <w:szCs w:val="32"/>
          <w:lang w:val="en-US" w:eastAsia="zh-CN"/>
        </w:rPr>
        <w:t>15</w:t>
      </w:r>
      <w:r>
        <w:rPr>
          <w:rFonts w:hint="default" w:ascii="仿宋_GB2312" w:hAnsi="仿宋_GB2312" w:eastAsia="仿宋_GB2312" w:cs="仿宋_GB2312"/>
          <w:sz w:val="32"/>
          <w:szCs w:val="32"/>
          <w:lang w:val="en-US" w:eastAsia="zh-CN"/>
        </w:rPr>
        <w:t>个，全年预算执行数170.24202万元，预算执行率为</w:t>
      </w:r>
      <w:r>
        <w:rPr>
          <w:rFonts w:hint="eastAsia" w:ascii="仿宋_GB2312" w:hAnsi="仿宋_GB2312" w:eastAsia="仿宋_GB2312" w:cs="仿宋_GB2312"/>
          <w:sz w:val="32"/>
          <w:szCs w:val="32"/>
          <w:lang w:val="en-US" w:eastAsia="zh-CN"/>
        </w:rPr>
        <w:t>98.84</w:t>
      </w:r>
      <w:r>
        <w:rPr>
          <w:rFonts w:hint="default" w:ascii="仿宋_GB2312" w:hAnsi="仿宋_GB2312" w:eastAsia="仿宋_GB2312" w:cs="仿宋_GB2312"/>
          <w:sz w:val="32"/>
          <w:szCs w:val="32"/>
          <w:lang w:val="en-US" w:eastAsia="zh-CN"/>
        </w:rPr>
        <w:t>%。</w:t>
      </w:r>
    </w:p>
    <w:p w14:paraId="302C6819">
      <w:pPr>
        <w:keepNext w:val="0"/>
        <w:keepLines w:val="0"/>
        <w:pageBreakBefore w:val="0"/>
        <w:widowControl w:val="0"/>
        <w:kinsoku/>
        <w:wordWrap/>
        <w:overflowPunct/>
        <w:topLinePunct w:val="0"/>
        <w:autoSpaceDE/>
        <w:autoSpaceDN/>
        <w:bidi w:val="0"/>
        <w:spacing w:line="560" w:lineRule="exact"/>
        <w:ind w:firstLine="800" w:firstLineChars="25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项目绩效目标完成情况：</w:t>
      </w:r>
      <w:r>
        <w:rPr>
          <w:rFonts w:hint="eastAsia" w:ascii="仿宋_GB2312" w:hAnsi="仿宋_GB2312" w:eastAsia="仿宋_GB2312" w:cs="仿宋_GB2312"/>
          <w:sz w:val="32"/>
          <w:szCs w:val="32"/>
          <w:lang w:val="en-US" w:eastAsia="zh-CN"/>
        </w:rPr>
        <w:t>坚持</w:t>
      </w:r>
      <w:r>
        <w:rPr>
          <w:rFonts w:hint="default" w:ascii="仿宋_GB2312" w:hAnsi="仿宋_GB2312" w:eastAsia="仿宋_GB2312" w:cs="仿宋_GB2312"/>
          <w:sz w:val="32"/>
          <w:szCs w:val="32"/>
          <w:lang w:val="en-US" w:eastAsia="zh-CN"/>
        </w:rPr>
        <w:t>“保护合法、制止非法、遏制极端、抵御渗透、打击犯罪”，全力做好司法工作，强化司法宣传，强化法治政府建设，强化司法管理；高标准推进区信访接待中心（区群众工作中心）、区综治中心建设。</w:t>
      </w:r>
    </w:p>
    <w:p w14:paraId="179C6653">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四、评价结论和评价等级</w:t>
      </w:r>
    </w:p>
    <w:p w14:paraId="74E28916">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年全年预算数4920.907597万元，支出数4860.828962万元，执行率</w:t>
      </w:r>
      <w:r>
        <w:rPr>
          <w:rFonts w:hint="eastAsia" w:ascii="仿宋_GB2312" w:hAnsi="仿宋_GB2312" w:eastAsia="仿宋_GB2312" w:cs="仿宋_GB2312"/>
          <w:color w:val="auto"/>
          <w:sz w:val="32"/>
          <w:szCs w:val="32"/>
          <w:lang w:val="en-US" w:eastAsia="zh-CN"/>
        </w:rPr>
        <w:t>98.78</w:t>
      </w:r>
      <w:r>
        <w:rPr>
          <w:rFonts w:hint="eastAsia" w:ascii="仿宋_GB2312" w:hAnsi="仿宋_GB2312" w:eastAsia="仿宋_GB2312" w:cs="仿宋_GB2312"/>
          <w:color w:val="auto"/>
          <w:sz w:val="32"/>
          <w:szCs w:val="32"/>
        </w:rPr>
        <w:t>%。根据部门职责定位和各项工作履职情况</w:t>
      </w:r>
      <w:r>
        <w:rPr>
          <w:rFonts w:hint="eastAsia" w:ascii="仿宋_GB2312" w:hAnsi="仿宋_GB2312" w:eastAsia="仿宋_GB2312" w:cs="仿宋_GB2312"/>
          <w:sz w:val="32"/>
          <w:szCs w:val="32"/>
        </w:rPr>
        <w:t>进行综合评价，综合得分</w:t>
      </w:r>
      <w:r>
        <w:rPr>
          <w:rFonts w:hint="eastAsia" w:ascii="仿宋_GB2312" w:hAnsi="仿宋_GB2312" w:eastAsia="仿宋_GB2312" w:cs="仿宋_GB2312"/>
          <w:sz w:val="32"/>
          <w:szCs w:val="32"/>
          <w:lang w:val="en-US" w:eastAsia="zh-CN"/>
        </w:rPr>
        <w:t>95.3</w:t>
      </w:r>
      <w:r>
        <w:rPr>
          <w:rFonts w:hint="eastAsia" w:ascii="仿宋_GB2312" w:hAnsi="仿宋_GB2312" w:eastAsia="仿宋_GB2312" w:cs="仿宋_GB2312"/>
          <w:sz w:val="32"/>
          <w:szCs w:val="32"/>
        </w:rPr>
        <w:t>分，综合绩效评价等级为优秀。</w:t>
      </w:r>
    </w:p>
    <w:p w14:paraId="55A41225">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黑体" w:hAnsi="黑体" w:eastAsia="黑体"/>
          <w:sz w:val="32"/>
          <w:szCs w:val="32"/>
        </w:rPr>
      </w:pPr>
      <w:r>
        <w:rPr>
          <w:rFonts w:hint="eastAsia" w:ascii="黑体" w:hAnsi="黑体" w:eastAsia="黑体"/>
          <w:sz w:val="32"/>
          <w:szCs w:val="32"/>
        </w:rPr>
        <w:t>五、存在的问题及改进措施</w:t>
      </w:r>
    </w:p>
    <w:p w14:paraId="7102132C">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楷体" w:hAnsi="楷体" w:eastAsia="楷体"/>
          <w:bCs/>
          <w:sz w:val="32"/>
          <w:szCs w:val="32"/>
          <w:lang w:val="en-US" w:eastAsia="zh-CN"/>
        </w:rPr>
      </w:pPr>
      <w:r>
        <w:rPr>
          <w:rFonts w:hint="eastAsia" w:ascii="楷体" w:hAnsi="楷体" w:eastAsia="楷体"/>
          <w:bCs/>
          <w:sz w:val="32"/>
          <w:szCs w:val="32"/>
        </w:rPr>
        <w:t>（一）存在的主要问题</w:t>
      </w:r>
      <w:r>
        <w:rPr>
          <w:rFonts w:hint="eastAsia" w:ascii="楷体" w:hAnsi="楷体" w:eastAsia="楷体"/>
          <w:bCs/>
          <w:sz w:val="32"/>
          <w:szCs w:val="32"/>
          <w:lang w:val="en-US" w:eastAsia="zh-CN"/>
        </w:rPr>
        <w:t xml:space="preserve">  </w:t>
      </w:r>
      <w:bookmarkStart w:id="0" w:name="_GoBack"/>
      <w:bookmarkEnd w:id="0"/>
    </w:p>
    <w:p w14:paraId="0A608847">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部分项目存在资金执行进度不均衡情况，上半年支出偏慢，整体执行效率有待提高。</w:t>
      </w:r>
    </w:p>
    <w:p w14:paraId="26CCDF98">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楷体" w:hAnsi="楷体" w:eastAsia="楷体"/>
          <w:bCs/>
          <w:sz w:val="32"/>
          <w:szCs w:val="32"/>
          <w:lang w:val="en-US" w:eastAsia="zh-CN"/>
        </w:rPr>
      </w:pPr>
      <w:r>
        <w:rPr>
          <w:rFonts w:hint="eastAsia" w:ascii="楷体" w:hAnsi="楷体" w:eastAsia="楷体"/>
          <w:bCs/>
          <w:sz w:val="32"/>
          <w:szCs w:val="32"/>
        </w:rPr>
        <w:t>（二）针对问题提出具体的改进措施或建议</w:t>
      </w:r>
      <w:r>
        <w:rPr>
          <w:rFonts w:hint="eastAsia" w:ascii="楷体" w:hAnsi="楷体" w:eastAsia="楷体"/>
          <w:bCs/>
          <w:sz w:val="32"/>
          <w:szCs w:val="32"/>
          <w:lang w:val="en-US" w:eastAsia="zh-CN"/>
        </w:rPr>
        <w:t xml:space="preserve">  </w:t>
      </w:r>
    </w:p>
    <w:p w14:paraId="65862311">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黑体" w:hAnsi="黑体" w:eastAsia="黑体"/>
          <w:sz w:val="32"/>
          <w:szCs w:val="32"/>
        </w:rPr>
      </w:pPr>
      <w:r>
        <w:rPr>
          <w:rFonts w:hint="eastAsia" w:ascii="仿宋_GB2312" w:hAnsi="仿宋_GB2312" w:eastAsia="仿宋_GB2312" w:cs="仿宋_GB2312"/>
          <w:bCs/>
          <w:sz w:val="32"/>
          <w:szCs w:val="32"/>
          <w:lang w:val="en-US" w:eastAsia="zh-CN"/>
        </w:rPr>
        <w:t>紧盯资金执行进度，开展进度梳理工作，加快资金支出进度。</w:t>
      </w:r>
    </w:p>
    <w:sectPr>
      <w:footerReference r:id="rId3" w:type="default"/>
      <w:pgSz w:w="11906" w:h="16838"/>
      <w:pgMar w:top="2098" w:right="1474" w:bottom="1984"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34"/>
    <w:family w:val="auto"/>
    <w:pitch w:val="default"/>
    <w:sig w:usb0="00000000" w:usb1="00000000"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楷体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A00002BF" w:usb1="38CF7CFA" w:usb2="00082016" w:usb3="00000000" w:csb0="00040001" w:csb1="00000000"/>
  </w:font>
  <w:font w:name="华文楷体">
    <w:altName w:val="宋体"/>
    <w:panose1 w:val="02010600040101010101"/>
    <w:charset w:val="86"/>
    <w:family w:val="auto"/>
    <w:pitch w:val="default"/>
    <w:sig w:usb0="00000000" w:usb1="0000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仿宋">
    <w:altName w:val="宋体"/>
    <w:panose1 w:val="02010609060101010101"/>
    <w:charset w:val="86"/>
    <w:family w:val="modern"/>
    <w:pitch w:val="default"/>
    <w:sig w:usb0="00000000" w:usb1="00000000" w:usb2="00000016" w:usb3="00000000" w:csb0="00040001"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0D3E62">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Quad Arrow 307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CD7A130">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- 1 -</w:t>
                          </w:r>
                          <w:r>
                            <w:rPr>
                              <w:rFonts w:hint="eastAsia"/>
                              <w:sz w:val="18"/>
                            </w:rPr>
                            <w:fldChar w:fldCharType="end"/>
                          </w:r>
                        </w:p>
                      </w:txbxContent>
                    </wps:txbx>
                    <wps:bodyPr wrap="none" lIns="0" tIns="0" rIns="0" bIns="0" upright="1">
                      <a:spAutoFit/>
                    </wps:bodyPr>
                  </wps:wsp>
                </a:graphicData>
              </a:graphic>
            </wp:anchor>
          </w:drawing>
        </mc:Choice>
        <mc:Fallback>
          <w:pict>
            <v:shape id="Quad Arrow 307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DLZp0PwAEAAJ0DAAAOAAAAAAAAAAEAIAAAAB4BAABkcnMvZTJvRG9jLnhtbFBLBQYA&#10;AAAABgAGAFkBAABQBQAAAAA=&#10;">
              <v:fill on="f" focussize="0,0"/>
              <v:stroke on="f"/>
              <v:imagedata o:title=""/>
              <o:lock v:ext="edit" aspectratio="f"/>
              <v:textbox inset="0mm,0mm,0mm,0mm" style="mso-fit-shape-to-text:t;">
                <w:txbxContent>
                  <w:p w14:paraId="1CD7A130">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- 1 -</w:t>
                    </w:r>
                    <w:r>
                      <w:rPr>
                        <w:rFonts w:hint="eastAsia"/>
                        <w:sz w:val="1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gxMzVhZTBlNDUyZWUxNDVhMjNkN2E1NjFlOTE5NDcifQ=="/>
  </w:docVars>
  <w:rsids>
    <w:rsidRoot w:val="0EBD2122"/>
    <w:rsid w:val="000B0260"/>
    <w:rsid w:val="001F187B"/>
    <w:rsid w:val="007E6C1F"/>
    <w:rsid w:val="00956A93"/>
    <w:rsid w:val="009E575C"/>
    <w:rsid w:val="00AF167E"/>
    <w:rsid w:val="00AF566A"/>
    <w:rsid w:val="00B478EA"/>
    <w:rsid w:val="00B6553A"/>
    <w:rsid w:val="00BC6576"/>
    <w:rsid w:val="00CE06BA"/>
    <w:rsid w:val="00F441CC"/>
    <w:rsid w:val="01B104CA"/>
    <w:rsid w:val="02106AB0"/>
    <w:rsid w:val="02B43A28"/>
    <w:rsid w:val="046F331E"/>
    <w:rsid w:val="055B3523"/>
    <w:rsid w:val="07956271"/>
    <w:rsid w:val="09721397"/>
    <w:rsid w:val="0BB63BED"/>
    <w:rsid w:val="0EB97A43"/>
    <w:rsid w:val="0EBD2122"/>
    <w:rsid w:val="0F214EAE"/>
    <w:rsid w:val="0F242EBB"/>
    <w:rsid w:val="11B71E6A"/>
    <w:rsid w:val="1AAF0063"/>
    <w:rsid w:val="1BE140DE"/>
    <w:rsid w:val="1E542E40"/>
    <w:rsid w:val="23720241"/>
    <w:rsid w:val="248C197D"/>
    <w:rsid w:val="252959AF"/>
    <w:rsid w:val="277A6671"/>
    <w:rsid w:val="28AD5641"/>
    <w:rsid w:val="292D35B7"/>
    <w:rsid w:val="33EB6CFF"/>
    <w:rsid w:val="35A12947"/>
    <w:rsid w:val="37387040"/>
    <w:rsid w:val="377948F7"/>
    <w:rsid w:val="398E3AAC"/>
    <w:rsid w:val="3A19780E"/>
    <w:rsid w:val="3B625C0A"/>
    <w:rsid w:val="3CEE1963"/>
    <w:rsid w:val="3F5D4CFD"/>
    <w:rsid w:val="3FE5DEE6"/>
    <w:rsid w:val="42BF647C"/>
    <w:rsid w:val="435B216E"/>
    <w:rsid w:val="436B78D3"/>
    <w:rsid w:val="43CC4541"/>
    <w:rsid w:val="45192426"/>
    <w:rsid w:val="469C59B7"/>
    <w:rsid w:val="4C9C27FE"/>
    <w:rsid w:val="512260B4"/>
    <w:rsid w:val="52BD6ACB"/>
    <w:rsid w:val="55537534"/>
    <w:rsid w:val="55C8432B"/>
    <w:rsid w:val="561A74F1"/>
    <w:rsid w:val="58B17416"/>
    <w:rsid w:val="596C4629"/>
    <w:rsid w:val="597244E8"/>
    <w:rsid w:val="5EB71C30"/>
    <w:rsid w:val="60DFC081"/>
    <w:rsid w:val="66AF0CE5"/>
    <w:rsid w:val="68AC2130"/>
    <w:rsid w:val="6AC537CF"/>
    <w:rsid w:val="6BF75F0D"/>
    <w:rsid w:val="6D933D09"/>
    <w:rsid w:val="6E5B14A6"/>
    <w:rsid w:val="6EAE6991"/>
    <w:rsid w:val="6FEF728B"/>
    <w:rsid w:val="711B255E"/>
    <w:rsid w:val="7A657916"/>
    <w:rsid w:val="7BB51E06"/>
    <w:rsid w:val="7C387F7C"/>
    <w:rsid w:val="7D100E16"/>
    <w:rsid w:val="7D4E79CB"/>
    <w:rsid w:val="7DF375E3"/>
    <w:rsid w:val="7FBA1C6D"/>
    <w:rsid w:val="7FE83423"/>
    <w:rsid w:val="9DDB0494"/>
    <w:rsid w:val="AFBFD6B0"/>
    <w:rsid w:val="BDFD2FCF"/>
    <w:rsid w:val="CFE7A8BB"/>
    <w:rsid w:val="EDA769F3"/>
    <w:rsid w:val="FCBF8F34"/>
    <w:rsid w:val="FEF5A53D"/>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semiHidden/>
    <w:unhideWhenUsed/>
    <w:qFormat/>
    <w:uiPriority w:val="99"/>
    <w:pPr>
      <w:spacing w:after="120" w:afterLines="0" w:afterAutospacing="0"/>
      <w:ind w:left="420" w:leftChars="200"/>
    </w:pPr>
  </w:style>
  <w:style w:type="paragraph" w:styleId="3">
    <w:name w:val="header"/>
    <w:basedOn w:val="1"/>
    <w:next w:val="4"/>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sz w:val="18"/>
    </w:rPr>
  </w:style>
  <w:style w:type="paragraph" w:customStyle="1" w:styleId="4">
    <w:name w:val="样式5"/>
    <w:basedOn w:val="5"/>
    <w:qFormat/>
    <w:uiPriority w:val="0"/>
    <w:pPr>
      <w:keepNext/>
      <w:keepLines/>
      <w:spacing w:line="300" w:lineRule="auto"/>
    </w:pPr>
    <w:rPr>
      <w:rFonts w:eastAsia="楷体_GB2312"/>
      <w:sz w:val="21"/>
      <w:szCs w:val="32"/>
      <w:shd w:val="clear" w:color="auto" w:fill="FFFFFF"/>
    </w:rPr>
  </w:style>
  <w:style w:type="paragraph" w:customStyle="1" w:styleId="5">
    <w:name w:val="正文1"/>
    <w:basedOn w:val="1"/>
    <w:qFormat/>
    <w:uiPriority w:val="0"/>
    <w:pPr>
      <w:adjustRightInd w:val="0"/>
      <w:snapToGrid w:val="0"/>
      <w:spacing w:line="480" w:lineRule="exact"/>
      <w:ind w:firstLine="200" w:firstLineChars="200"/>
    </w:pPr>
    <w:rPr>
      <w:sz w:val="24"/>
      <w:szCs w:val="20"/>
    </w:rPr>
  </w:style>
  <w:style w:type="paragraph" w:styleId="6">
    <w:name w:val="footer"/>
    <w:basedOn w:val="1"/>
    <w:qFormat/>
    <w:uiPriority w:val="0"/>
    <w:pPr>
      <w:tabs>
        <w:tab w:val="center" w:pos="4153"/>
        <w:tab w:val="right" w:pos="8306"/>
      </w:tabs>
      <w:snapToGrid w:val="0"/>
      <w:jc w:val="left"/>
    </w:pPr>
    <w:rPr>
      <w:sz w:val="18"/>
    </w:rPr>
  </w:style>
  <w:style w:type="paragraph" w:styleId="7">
    <w:name w:val="footnote text"/>
    <w:basedOn w:val="1"/>
    <w:next w:val="8"/>
    <w:qFormat/>
    <w:uiPriority w:val="0"/>
    <w:pPr>
      <w:snapToGrid w:val="0"/>
      <w:jc w:val="left"/>
    </w:pPr>
    <w:rPr>
      <w:rFonts w:ascii="Times New Roman" w:hAnsi="Times New Roman" w:cs="Times New Roman"/>
      <w:sz w:val="18"/>
      <w:szCs w:val="24"/>
    </w:rPr>
  </w:style>
  <w:style w:type="paragraph" w:styleId="8">
    <w:name w:val="Body Text First Indent 2"/>
    <w:basedOn w:val="2"/>
    <w:next w:val="1"/>
    <w:semiHidden/>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3784</Words>
  <Characters>4311</Characters>
  <Lines>4</Lines>
  <Paragraphs>1</Paragraphs>
  <TotalTime>7</TotalTime>
  <ScaleCrop>false</ScaleCrop>
  <LinksUpToDate>false</LinksUpToDate>
  <CharactersWithSpaces>4341</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2020-02-08T19:46:00Z</dcterms:created>
  <dc:creator>欣欣大人</dc:creator>
  <cp:lastModifiedBy>涛生云灭</cp:lastModifiedBy>
  <cp:lastPrinted>2024-03-10T23:40:00Z</cp:lastPrinted>
  <dcterms:modified xsi:type="dcterms:W3CDTF">2026-06-10T15:35:15Z</dcterms:modified>
  <dc:title>附件3：</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A7746B860B6F47A197B9DFCBA4EF69F9_13</vt:lpwstr>
  </property>
  <property fmtid="{D5CDD505-2E9C-101B-9397-08002B2CF9AE}" pid="4" name="KSOTemplateDocerSaveRecord">
    <vt:lpwstr>eyJoZGlkIjoiODVlNzllY2Q2ZTQ3NjU3YmQ3NjIwZGRkMjViOTJjMmYiLCJ1c2VySWQiOiIzMDI1OTQ0MjUifQ==</vt:lpwstr>
  </property>
</Properties>
</file>